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B11" w:rsidRDefault="00912B11">
      <w:pPr>
        <w:rPr>
          <w:rtl/>
        </w:rPr>
      </w:pPr>
    </w:p>
    <w:p w:rsidR="00387C20" w:rsidRDefault="00387C20" w:rsidP="00387C20">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387C20" w:rsidTr="00387C20">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387C20" w:rsidRDefault="00387C20">
                <w:pPr>
                  <w:pStyle w:val="a5"/>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387C20" w:rsidTr="00387C20">
        <w:trPr>
          <w:trHeight w:val="337"/>
          <w:jc w:val="center"/>
        </w:trPr>
        <w:tc>
          <w:tcPr>
            <w:tcW w:w="5047" w:type="dxa"/>
          </w:tcPr>
          <w:p w:rsidR="00387C20" w:rsidRDefault="00387C20">
            <w:pPr>
              <w:rPr>
                <w:b/>
                <w:bCs/>
                <w:noProof w:val="0"/>
                <w:sz w:val="26"/>
                <w:szCs w:val="26"/>
                <w:rtl/>
              </w:rPr>
            </w:pPr>
          </w:p>
        </w:tc>
        <w:tc>
          <w:tcPr>
            <w:tcW w:w="3674" w:type="dxa"/>
          </w:tcPr>
          <w:p w:rsidR="00387C20" w:rsidRDefault="00387C20">
            <w:pPr>
              <w:pStyle w:val="a5"/>
              <w:jc w:val="right"/>
              <w:rPr>
                <w:b/>
                <w:bCs/>
                <w:noProof w:val="0"/>
                <w:sz w:val="26"/>
                <w:szCs w:val="26"/>
                <w:rtl/>
              </w:rPr>
            </w:pPr>
          </w:p>
        </w:tc>
      </w:tr>
      <w:tr w:rsidR="00387C20" w:rsidTr="00387C20">
        <w:trPr>
          <w:trHeight w:val="337"/>
          <w:jc w:val="center"/>
        </w:trPr>
        <w:tc>
          <w:tcPr>
            <w:tcW w:w="8721" w:type="dxa"/>
            <w:gridSpan w:val="2"/>
          </w:tcPr>
          <w:p w:rsidR="00387C20" w:rsidRDefault="00387C20" w:rsidP="00387C20">
            <w:pPr>
              <w:rPr>
                <w:b/>
                <w:bCs/>
                <w:noProof w:val="0"/>
                <w:sz w:val="26"/>
                <w:szCs w:val="26"/>
                <w:rtl/>
              </w:rPr>
            </w:pPr>
            <w:r>
              <w:rPr>
                <w:b/>
                <w:bCs/>
                <w:noProof w:val="0"/>
                <w:sz w:val="26"/>
                <w:szCs w:val="26"/>
                <w:rtl/>
              </w:rPr>
              <w:t>ת"ע 20705-03-24 ר</w:t>
            </w:r>
            <w:r>
              <w:rPr>
                <w:rFonts w:hint="cs"/>
                <w:b/>
                <w:bCs/>
                <w:noProof w:val="0"/>
                <w:sz w:val="26"/>
                <w:szCs w:val="26"/>
                <w:rtl/>
              </w:rPr>
              <w:t>.</w:t>
            </w:r>
            <w:r>
              <w:rPr>
                <w:b/>
                <w:bCs/>
                <w:noProof w:val="0"/>
                <w:sz w:val="26"/>
                <w:szCs w:val="26"/>
                <w:rtl/>
              </w:rPr>
              <w:t xml:space="preserve"> ואח' נ' ד</w:t>
            </w:r>
            <w:r>
              <w:rPr>
                <w:rFonts w:hint="cs"/>
                <w:b/>
                <w:bCs/>
                <w:noProof w:val="0"/>
                <w:sz w:val="26"/>
                <w:szCs w:val="26"/>
                <w:rtl/>
              </w:rPr>
              <w:t>.</w:t>
            </w:r>
            <w:r>
              <w:rPr>
                <w:b/>
                <w:bCs/>
                <w:noProof w:val="0"/>
                <w:sz w:val="26"/>
                <w:szCs w:val="26"/>
                <w:rtl/>
              </w:rPr>
              <w:t xml:space="preserve"> ואח'</w:t>
            </w:r>
          </w:p>
          <w:p w:rsidR="00387C20" w:rsidRDefault="00387C20">
            <w:pPr>
              <w:rPr>
                <w:b/>
                <w:bCs/>
                <w:noProof w:val="0"/>
                <w:sz w:val="2"/>
                <w:szCs w:val="2"/>
                <w:rtl/>
              </w:rPr>
            </w:pPr>
          </w:p>
          <w:p w:rsidR="00387C20" w:rsidRDefault="00387C20">
            <w:pPr>
              <w:rPr>
                <w:sz w:val="20"/>
                <w:szCs w:val="20"/>
                <w:rtl/>
              </w:rPr>
            </w:pPr>
            <w:r>
              <w:rPr>
                <w:rtl/>
              </w:rPr>
              <w:t xml:space="preserve">                           </w:t>
            </w:r>
            <w:r>
              <w:rPr>
                <w:sz w:val="20"/>
                <w:szCs w:val="20"/>
                <w:rtl/>
              </w:rPr>
              <w:t xml:space="preserve">                                       </w:t>
            </w:r>
          </w:p>
          <w:p w:rsidR="00387C20" w:rsidRDefault="00387C20">
            <w:pPr>
              <w:rPr>
                <w:sz w:val="20"/>
                <w:szCs w:val="20"/>
                <w:rtl/>
              </w:rPr>
            </w:pPr>
          </w:p>
        </w:tc>
      </w:tr>
    </w:tbl>
    <w:p w:rsidR="00387C20" w:rsidRDefault="00387C20" w:rsidP="00387C20">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387C20" w:rsidTr="00387C20">
        <w:trPr>
          <w:trHeight w:val="295"/>
          <w:jc w:val="center"/>
        </w:trPr>
        <w:tc>
          <w:tcPr>
            <w:tcW w:w="5049" w:type="dxa"/>
            <w:gridSpan w:val="3"/>
          </w:tcPr>
          <w:p w:rsidR="00387C20" w:rsidRDefault="00387C20">
            <w:pPr>
              <w:suppressLineNumbers/>
              <w:rPr>
                <w:rFonts w:ascii="Arial" w:hAnsi="Arial"/>
                <w:b/>
                <w:bCs/>
                <w:noProof w:val="0"/>
                <w:sz w:val="26"/>
                <w:szCs w:val="26"/>
                <w:rtl/>
              </w:rPr>
            </w:pPr>
          </w:p>
        </w:tc>
        <w:tc>
          <w:tcPr>
            <w:tcW w:w="3771" w:type="dxa"/>
            <w:hideMark/>
          </w:tcPr>
          <w:p w:rsidR="00387C20" w:rsidRDefault="00387C20">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19</w:t>
            </w:r>
          </w:p>
        </w:tc>
      </w:tr>
      <w:tr w:rsidR="00387C20" w:rsidTr="00387C20">
        <w:trPr>
          <w:jc w:val="center"/>
        </w:trPr>
        <w:tc>
          <w:tcPr>
            <w:tcW w:w="743" w:type="dxa"/>
            <w:hideMark/>
          </w:tcPr>
          <w:p w:rsidR="00387C20" w:rsidRDefault="00387C20">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3"/>
            <w:hideMark/>
          </w:tcPr>
          <w:p w:rsidR="00387C20" w:rsidRDefault="00387C20">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387C20" w:rsidTr="00387C20">
        <w:trPr>
          <w:jc w:val="center"/>
        </w:trPr>
        <w:tc>
          <w:tcPr>
            <w:tcW w:w="3249" w:type="dxa"/>
            <w:gridSpan w:val="2"/>
          </w:tcPr>
          <w:p w:rsidR="00387C20" w:rsidRDefault="00387C20">
            <w:pPr>
              <w:suppressLineNumbers/>
              <w:rPr>
                <w:rFonts w:ascii="Arial" w:hAnsi="Arial"/>
                <w:b/>
                <w:bCs/>
                <w:noProof w:val="0"/>
                <w:sz w:val="26"/>
                <w:szCs w:val="26"/>
              </w:rPr>
            </w:pPr>
          </w:p>
          <w:p w:rsidR="00387C20" w:rsidRDefault="00387C20">
            <w:pPr>
              <w:suppressLineNumbers/>
              <w:jc w:val="left"/>
              <w:rPr>
                <w:rFonts w:ascii="Arial" w:hAnsi="Arial"/>
                <w:b/>
                <w:bCs/>
                <w:noProof w:val="0"/>
                <w:sz w:val="26"/>
                <w:szCs w:val="26"/>
              </w:rPr>
            </w:pPr>
            <w:r>
              <w:rPr>
                <w:rFonts w:ascii="Arial" w:hAnsi="Arial"/>
                <w:b/>
                <w:bCs/>
                <w:noProof w:val="0"/>
                <w:sz w:val="26"/>
                <w:szCs w:val="26"/>
                <w:rtl/>
              </w:rPr>
              <w:t>מבקשת</w:t>
            </w:r>
          </w:p>
        </w:tc>
        <w:tc>
          <w:tcPr>
            <w:tcW w:w="5571" w:type="dxa"/>
            <w:gridSpan w:val="2"/>
          </w:tcPr>
          <w:p w:rsidR="00387C20" w:rsidRDefault="00387C20">
            <w:pPr>
              <w:suppressLineNumbers/>
              <w:rPr>
                <w:rFonts w:ascii="Arial" w:hAnsi="Arial"/>
                <w:b/>
                <w:bCs/>
                <w:noProof w:val="0"/>
                <w:sz w:val="26"/>
                <w:szCs w:val="26"/>
                <w:rtl/>
              </w:rPr>
            </w:pPr>
          </w:p>
          <w:p w:rsidR="00387C20" w:rsidRDefault="00387C20" w:rsidP="00387C20">
            <w:pPr>
              <w:suppressLineNumbers/>
              <w:jc w:val="left"/>
              <w:rPr>
                <w:b/>
                <w:bCs/>
                <w:noProof w:val="0"/>
                <w:sz w:val="26"/>
                <w:szCs w:val="26"/>
                <w:rtl/>
              </w:rPr>
            </w:pPr>
            <w:r>
              <w:rPr>
                <w:rFonts w:ascii="Arial" w:hAnsi="Arial"/>
                <w:b/>
                <w:bCs/>
                <w:noProof w:val="0"/>
                <w:sz w:val="26"/>
                <w:szCs w:val="26"/>
                <w:rtl/>
              </w:rPr>
              <w:t>ס</w:t>
            </w:r>
            <w:r>
              <w:rPr>
                <w:rFonts w:ascii="Arial" w:hAnsi="Arial" w:hint="cs"/>
                <w:b/>
                <w:bCs/>
                <w:noProof w:val="0"/>
                <w:sz w:val="26"/>
                <w:szCs w:val="26"/>
                <w:rtl/>
              </w:rPr>
              <w:t>.</w:t>
            </w:r>
            <w:r>
              <w:rPr>
                <w:rFonts w:ascii="Arial" w:hAnsi="Arial"/>
                <w:b/>
                <w:bCs/>
                <w:noProof w:val="0"/>
                <w:sz w:val="26"/>
                <w:szCs w:val="26"/>
                <w:rtl/>
              </w:rPr>
              <w:t>ד</w:t>
            </w:r>
            <w:r>
              <w:rPr>
                <w:rFonts w:ascii="Arial" w:hAnsi="Arial" w:hint="cs"/>
                <w:b/>
                <w:bCs/>
                <w:noProof w:val="0"/>
                <w:sz w:val="26"/>
                <w:szCs w:val="26"/>
                <w:rtl/>
              </w:rPr>
              <w:t>.</w:t>
            </w:r>
          </w:p>
          <w:p w:rsidR="00387C20" w:rsidRDefault="00387C20">
            <w:pPr>
              <w:suppressLineNumbers/>
              <w:jc w:val="left"/>
              <w:rPr>
                <w:noProof w:val="0"/>
                <w:rtl/>
              </w:rPr>
            </w:pPr>
            <w:r>
              <w:rPr>
                <w:noProof w:val="0"/>
                <w:rtl/>
              </w:rPr>
              <w:t>מיוצגת ע"י עוה"ד אלי יוגב ואח'</w:t>
            </w:r>
          </w:p>
        </w:tc>
      </w:tr>
      <w:tr w:rsidR="00387C20" w:rsidTr="00387C20">
        <w:trPr>
          <w:jc w:val="center"/>
        </w:trPr>
        <w:tc>
          <w:tcPr>
            <w:tcW w:w="8820" w:type="dxa"/>
            <w:gridSpan w:val="4"/>
          </w:tcPr>
          <w:p w:rsidR="00387C20" w:rsidRDefault="00387C20">
            <w:pPr>
              <w:suppressLineNumbers/>
              <w:rPr>
                <w:rFonts w:ascii="Arial" w:hAnsi="Arial"/>
                <w:b/>
                <w:bCs/>
                <w:noProof w:val="0"/>
                <w:sz w:val="26"/>
                <w:szCs w:val="26"/>
              </w:rPr>
            </w:pPr>
          </w:p>
          <w:p w:rsidR="00387C20" w:rsidRDefault="00387C20">
            <w:pPr>
              <w:suppressLineNumbers/>
              <w:jc w:val="center"/>
              <w:rPr>
                <w:rFonts w:ascii="Arial" w:hAnsi="Arial"/>
                <w:b/>
                <w:bCs/>
                <w:noProof w:val="0"/>
                <w:sz w:val="26"/>
                <w:szCs w:val="26"/>
                <w:rtl/>
              </w:rPr>
            </w:pPr>
            <w:r>
              <w:rPr>
                <w:rFonts w:ascii="Arial" w:hAnsi="Arial"/>
                <w:b/>
                <w:bCs/>
                <w:noProof w:val="0"/>
                <w:sz w:val="26"/>
                <w:szCs w:val="26"/>
                <w:rtl/>
              </w:rPr>
              <w:t>נגד</w:t>
            </w:r>
          </w:p>
        </w:tc>
      </w:tr>
      <w:tr w:rsidR="00387C20" w:rsidTr="00387C20">
        <w:trPr>
          <w:jc w:val="center"/>
        </w:trPr>
        <w:tc>
          <w:tcPr>
            <w:tcW w:w="3249" w:type="dxa"/>
            <w:gridSpan w:val="2"/>
          </w:tcPr>
          <w:p w:rsidR="00387C20" w:rsidRDefault="00387C20">
            <w:pPr>
              <w:suppressLineNumbers/>
              <w:rPr>
                <w:rFonts w:ascii="Arial" w:hAnsi="Arial"/>
                <w:b/>
                <w:bCs/>
                <w:noProof w:val="0"/>
                <w:sz w:val="26"/>
                <w:szCs w:val="26"/>
              </w:rPr>
            </w:pPr>
          </w:p>
          <w:p w:rsidR="00387C20" w:rsidRDefault="00387C20">
            <w:pPr>
              <w:suppressLineNumbers/>
              <w:jc w:val="left"/>
              <w:rPr>
                <w:rFonts w:ascii="Arial" w:hAnsi="Arial"/>
                <w:b/>
                <w:bCs/>
                <w:noProof w:val="0"/>
                <w:sz w:val="26"/>
                <w:szCs w:val="26"/>
                <w:rtl/>
              </w:rPr>
            </w:pPr>
            <w:r>
              <w:rPr>
                <w:rFonts w:ascii="Arial" w:hAnsi="Arial"/>
                <w:b/>
                <w:bCs/>
                <w:noProof w:val="0"/>
                <w:sz w:val="26"/>
                <w:szCs w:val="26"/>
                <w:rtl/>
              </w:rPr>
              <w:t>משיבים</w:t>
            </w:r>
          </w:p>
        </w:tc>
        <w:tc>
          <w:tcPr>
            <w:tcW w:w="5571" w:type="dxa"/>
            <w:gridSpan w:val="2"/>
          </w:tcPr>
          <w:p w:rsidR="00387C20" w:rsidRDefault="00387C20">
            <w:pPr>
              <w:suppressLineNumbers/>
              <w:rPr>
                <w:rFonts w:ascii="Arial" w:hAnsi="Arial"/>
                <w:b/>
                <w:bCs/>
                <w:noProof w:val="0"/>
                <w:sz w:val="26"/>
                <w:szCs w:val="26"/>
              </w:rPr>
            </w:pPr>
          </w:p>
          <w:p w:rsidR="00387C20" w:rsidRDefault="00387C20" w:rsidP="00387C20">
            <w:pPr>
              <w:suppressLineNumbers/>
              <w:jc w:val="left"/>
              <w:rPr>
                <w:b/>
                <w:bCs/>
                <w:noProof w:val="0"/>
                <w:sz w:val="26"/>
                <w:szCs w:val="26"/>
                <w:rtl/>
              </w:rPr>
            </w:pPr>
            <w:r>
              <w:rPr>
                <w:rFonts w:ascii="Arial" w:hAnsi="Arial"/>
                <w:b/>
                <w:bCs/>
                <w:noProof w:val="0"/>
                <w:sz w:val="26"/>
                <w:szCs w:val="26"/>
                <w:rtl/>
              </w:rPr>
              <w:t>1. ד</w:t>
            </w:r>
            <w:r>
              <w:rPr>
                <w:rFonts w:ascii="Arial" w:hAnsi="Arial" w:hint="cs"/>
                <w:b/>
                <w:bCs/>
                <w:noProof w:val="0"/>
                <w:sz w:val="26"/>
                <w:szCs w:val="26"/>
                <w:rtl/>
              </w:rPr>
              <w:t xml:space="preserve">. </w:t>
            </w:r>
            <w:r>
              <w:rPr>
                <w:rFonts w:ascii="Arial" w:hAnsi="Arial"/>
                <w:b/>
                <w:bCs/>
                <w:noProof w:val="0"/>
                <w:sz w:val="26"/>
                <w:szCs w:val="26"/>
                <w:rtl/>
              </w:rPr>
              <w:t>ר</w:t>
            </w:r>
            <w:r>
              <w:rPr>
                <w:rFonts w:ascii="Arial" w:hAnsi="Arial" w:hint="cs"/>
                <w:b/>
                <w:bCs/>
                <w:noProof w:val="0"/>
                <w:sz w:val="26"/>
                <w:szCs w:val="26"/>
                <w:rtl/>
              </w:rPr>
              <w:t>.</w:t>
            </w:r>
          </w:p>
          <w:p w:rsidR="00387C20" w:rsidRDefault="00387C20" w:rsidP="00387C20">
            <w:pPr>
              <w:suppressLineNumbers/>
              <w:jc w:val="left"/>
              <w:rPr>
                <w:b/>
                <w:bCs/>
                <w:noProof w:val="0"/>
                <w:sz w:val="26"/>
                <w:szCs w:val="26"/>
                <w:rtl/>
              </w:rPr>
            </w:pPr>
            <w:r>
              <w:rPr>
                <w:rFonts w:ascii="Arial" w:hAnsi="Arial"/>
                <w:b/>
                <w:bCs/>
                <w:noProof w:val="0"/>
                <w:sz w:val="26"/>
                <w:szCs w:val="26"/>
                <w:rtl/>
              </w:rPr>
              <w:t>2. ש</w:t>
            </w:r>
            <w:r>
              <w:rPr>
                <w:rFonts w:ascii="Arial" w:hAnsi="Arial" w:hint="cs"/>
                <w:b/>
                <w:bCs/>
                <w:noProof w:val="0"/>
                <w:sz w:val="26"/>
                <w:szCs w:val="26"/>
                <w:rtl/>
              </w:rPr>
              <w:t>.</w:t>
            </w:r>
            <w:r>
              <w:rPr>
                <w:rFonts w:ascii="Arial" w:hAnsi="Arial"/>
                <w:b/>
                <w:bCs/>
                <w:noProof w:val="0"/>
                <w:sz w:val="26"/>
                <w:szCs w:val="26"/>
                <w:rtl/>
              </w:rPr>
              <w:t xml:space="preserve"> ר</w:t>
            </w:r>
            <w:r>
              <w:rPr>
                <w:rFonts w:ascii="Arial" w:hAnsi="Arial" w:hint="cs"/>
                <w:b/>
                <w:bCs/>
                <w:noProof w:val="0"/>
                <w:sz w:val="26"/>
                <w:szCs w:val="26"/>
                <w:rtl/>
              </w:rPr>
              <w:t>.</w:t>
            </w:r>
          </w:p>
          <w:p w:rsidR="00387C20" w:rsidRDefault="00387C20" w:rsidP="00387C20">
            <w:pPr>
              <w:suppressLineNumbers/>
              <w:jc w:val="left"/>
              <w:rPr>
                <w:b/>
                <w:bCs/>
                <w:noProof w:val="0"/>
                <w:sz w:val="26"/>
                <w:szCs w:val="26"/>
                <w:rtl/>
              </w:rPr>
            </w:pPr>
            <w:r>
              <w:rPr>
                <w:rFonts w:ascii="Arial" w:hAnsi="Arial"/>
                <w:b/>
                <w:bCs/>
                <w:noProof w:val="0"/>
                <w:sz w:val="26"/>
                <w:szCs w:val="26"/>
                <w:rtl/>
              </w:rPr>
              <w:t>3. ח</w:t>
            </w:r>
            <w:r>
              <w:rPr>
                <w:rFonts w:ascii="Arial" w:hAnsi="Arial" w:hint="cs"/>
                <w:b/>
                <w:bCs/>
                <w:noProof w:val="0"/>
                <w:sz w:val="26"/>
                <w:szCs w:val="26"/>
                <w:rtl/>
              </w:rPr>
              <w:t xml:space="preserve">. </w:t>
            </w:r>
            <w:r>
              <w:rPr>
                <w:rFonts w:ascii="Arial" w:hAnsi="Arial"/>
                <w:b/>
                <w:bCs/>
                <w:noProof w:val="0"/>
                <w:sz w:val="26"/>
                <w:szCs w:val="26"/>
                <w:rtl/>
              </w:rPr>
              <w:t>ר</w:t>
            </w:r>
            <w:r>
              <w:rPr>
                <w:rFonts w:hint="cs"/>
                <w:b/>
                <w:bCs/>
                <w:noProof w:val="0"/>
                <w:sz w:val="26"/>
                <w:szCs w:val="26"/>
                <w:rtl/>
              </w:rPr>
              <w:t>.</w:t>
            </w:r>
          </w:p>
          <w:p w:rsidR="00387C20" w:rsidRDefault="00387C20" w:rsidP="00387C20">
            <w:pPr>
              <w:suppressLineNumbers/>
              <w:jc w:val="left"/>
              <w:rPr>
                <w:rFonts w:ascii="Arial" w:hAnsi="Arial"/>
                <w:b/>
                <w:bCs/>
                <w:noProof w:val="0"/>
                <w:sz w:val="26"/>
                <w:szCs w:val="26"/>
                <w:rtl/>
              </w:rPr>
            </w:pPr>
            <w:r>
              <w:rPr>
                <w:rFonts w:ascii="Arial" w:hAnsi="Arial"/>
                <w:b/>
                <w:bCs/>
                <w:noProof w:val="0"/>
                <w:sz w:val="26"/>
                <w:szCs w:val="26"/>
                <w:rtl/>
              </w:rPr>
              <w:t>4. נ</w:t>
            </w:r>
            <w:r>
              <w:rPr>
                <w:rFonts w:ascii="Arial" w:hAnsi="Arial" w:hint="cs"/>
                <w:b/>
                <w:bCs/>
                <w:noProof w:val="0"/>
                <w:sz w:val="26"/>
                <w:szCs w:val="26"/>
                <w:rtl/>
              </w:rPr>
              <w:t>.</w:t>
            </w:r>
            <w:r>
              <w:rPr>
                <w:rFonts w:ascii="Arial" w:hAnsi="Arial"/>
                <w:b/>
                <w:bCs/>
                <w:noProof w:val="0"/>
                <w:sz w:val="26"/>
                <w:szCs w:val="26"/>
                <w:rtl/>
              </w:rPr>
              <w:t xml:space="preserve"> ר</w:t>
            </w:r>
            <w:r>
              <w:rPr>
                <w:rFonts w:ascii="Arial" w:hAnsi="Arial" w:hint="cs"/>
                <w:b/>
                <w:bCs/>
                <w:noProof w:val="0"/>
                <w:sz w:val="26"/>
                <w:szCs w:val="26"/>
                <w:rtl/>
              </w:rPr>
              <w:t>.</w:t>
            </w:r>
          </w:p>
          <w:p w:rsidR="00387C20" w:rsidRDefault="00387C20">
            <w:pPr>
              <w:suppressLineNumbers/>
              <w:jc w:val="left"/>
              <w:rPr>
                <w:noProof w:val="0"/>
                <w:rtl/>
              </w:rPr>
            </w:pPr>
            <w:r>
              <w:rPr>
                <w:b/>
                <w:bCs/>
                <w:noProof w:val="0"/>
                <w:sz w:val="26"/>
                <w:szCs w:val="26"/>
                <w:rtl/>
              </w:rPr>
              <w:t xml:space="preserve">   </w:t>
            </w:r>
            <w:r>
              <w:rPr>
                <w:noProof w:val="0"/>
                <w:rtl/>
              </w:rPr>
              <w:t xml:space="preserve">כולם מיוצגים ע"י עוה"ד ציון פטל וחנן שטיינר </w:t>
            </w:r>
          </w:p>
          <w:p w:rsidR="00387C20" w:rsidRDefault="00387C20">
            <w:pPr>
              <w:suppressLineNumbers/>
              <w:rPr>
                <w:b/>
                <w:bCs/>
                <w:noProof w:val="0"/>
                <w:sz w:val="26"/>
                <w:szCs w:val="26"/>
                <w:rtl/>
              </w:rPr>
            </w:pPr>
          </w:p>
        </w:tc>
      </w:tr>
      <w:tr w:rsidR="00387C20" w:rsidTr="00387C20">
        <w:trPr>
          <w:jc w:val="center"/>
        </w:trPr>
        <w:tc>
          <w:tcPr>
            <w:tcW w:w="8820" w:type="dxa"/>
            <w:gridSpan w:val="4"/>
          </w:tcPr>
          <w:p w:rsidR="00387C20" w:rsidRDefault="00387C20">
            <w:pPr>
              <w:suppressLineNumbers/>
              <w:rPr>
                <w:rFonts w:ascii="Arial" w:hAnsi="Arial"/>
                <w:b/>
                <w:bCs/>
                <w:noProof w:val="0"/>
                <w:sz w:val="26"/>
                <w:szCs w:val="26"/>
                <w:rtl/>
              </w:rPr>
            </w:pPr>
          </w:p>
        </w:tc>
      </w:tr>
    </w:tbl>
    <w:p w:rsidR="00387C20" w:rsidRDefault="00387C20" w:rsidP="00387C20">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87C20" w:rsidTr="00387C20">
        <w:trPr>
          <w:jc w:val="center"/>
        </w:trPr>
        <w:tc>
          <w:tcPr>
            <w:tcW w:w="8820" w:type="dxa"/>
          </w:tcPr>
          <w:p w:rsidR="00387C20" w:rsidRDefault="00387C20">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387C20" w:rsidRDefault="00387C20">
            <w:pPr>
              <w:bidi w:val="0"/>
              <w:jc w:val="center"/>
              <w:rPr>
                <w:rFonts w:ascii="Arial" w:hAnsi="Arial"/>
                <w:b/>
                <w:bCs/>
                <w:noProof w:val="0"/>
                <w:sz w:val="28"/>
                <w:szCs w:val="28"/>
                <w:u w:val="single"/>
                <w:rtl/>
              </w:rPr>
            </w:pPr>
          </w:p>
        </w:tc>
      </w:tr>
    </w:tbl>
    <w:p w:rsidR="00387C20" w:rsidRDefault="00387C20" w:rsidP="00387C20">
      <w:pPr>
        <w:spacing w:line="360" w:lineRule="auto"/>
        <w:jc w:val="both"/>
        <w:rPr>
          <w:rFonts w:ascii="David" w:hAnsi="David"/>
          <w:noProof w:val="0"/>
        </w:rPr>
      </w:pPr>
      <w:bookmarkStart w:id="0" w:name="NGCSBookmark"/>
      <w:bookmarkStart w:id="1" w:name="_GoBack"/>
      <w:bookmarkEnd w:id="0"/>
      <w:r>
        <w:rPr>
          <w:rFonts w:ascii="David" w:hAnsi="David"/>
          <w:rtl/>
        </w:rPr>
        <w:t>לפני בקשה "ל</w:t>
      </w:r>
      <w:r>
        <w:rPr>
          <w:rFonts w:ascii="David" w:hAnsi="David"/>
          <w:u w:val="single"/>
          <w:rtl/>
        </w:rPr>
        <w:t>מחוק את המתנגד מס' 1 מהתיק ולדחות על הסף את ההתנגדות לבקשה לקיום הצוואה מטעמו</w:t>
      </w:r>
      <w:r>
        <w:rPr>
          <w:rFonts w:ascii="David" w:hAnsi="David"/>
          <w:rtl/>
        </w:rPr>
        <w:t>" (להלן-</w:t>
      </w:r>
      <w:r>
        <w:rPr>
          <w:rFonts w:ascii="Miriam" w:hAnsi="Miriam" w:cs="Miriam"/>
          <w:b/>
          <w:bCs/>
          <w:rtl/>
        </w:rPr>
        <w:t>הבקשה</w:t>
      </w:r>
      <w:r>
        <w:rPr>
          <w:rFonts w:ascii="David" w:hAnsi="David"/>
          <w:rtl/>
        </w:rPr>
        <w:t>).</w:t>
      </w:r>
    </w:p>
    <w:bookmarkEnd w:id="1"/>
    <w:p w:rsidR="00387C20" w:rsidRDefault="00387C20" w:rsidP="00387C20">
      <w:pPr>
        <w:spacing w:line="360" w:lineRule="auto"/>
        <w:jc w:val="both"/>
        <w:rPr>
          <w:rFonts w:ascii="David" w:hAnsi="David"/>
          <w:noProof w:val="0"/>
          <w:rtl/>
        </w:rPr>
      </w:pPr>
    </w:p>
    <w:p w:rsidR="00387C20" w:rsidRDefault="00387C20" w:rsidP="00387C20">
      <w:pPr>
        <w:spacing w:line="360" w:lineRule="auto"/>
        <w:jc w:val="both"/>
        <w:rPr>
          <w:rFonts w:ascii="David" w:hAnsi="David"/>
          <w:b/>
          <w:bCs/>
        </w:rPr>
      </w:pPr>
      <w:r>
        <w:rPr>
          <w:rFonts w:ascii="David" w:hAnsi="David"/>
          <w:b/>
          <w:bCs/>
          <w:u w:val="single"/>
          <w:rtl/>
        </w:rPr>
        <w:t>הרקע העובדתי</w:t>
      </w:r>
      <w:r>
        <w:rPr>
          <w:rFonts w:ascii="David" w:hAnsi="David"/>
          <w:b/>
          <w:bCs/>
          <w:rtl/>
        </w:rPr>
        <w:t>:</w:t>
      </w:r>
    </w:p>
    <w:p w:rsidR="00387C20" w:rsidRDefault="00387C20" w:rsidP="00387C20">
      <w:pPr>
        <w:spacing w:line="360" w:lineRule="auto"/>
        <w:jc w:val="both"/>
        <w:rPr>
          <w:rFonts w:ascii="David" w:hAnsi="David"/>
          <w:b/>
          <w:bCs/>
          <w:rtl/>
        </w:rPr>
      </w:pPr>
    </w:p>
    <w:p w:rsidR="00387C20" w:rsidRDefault="00387C20" w:rsidP="00387C20">
      <w:pPr>
        <w:spacing w:line="360" w:lineRule="auto"/>
        <w:ind w:left="720" w:hanging="720"/>
        <w:jc w:val="both"/>
        <w:rPr>
          <w:rFonts w:ascii="David" w:hAnsi="David"/>
          <w:rtl/>
        </w:rPr>
      </w:pPr>
      <w:r>
        <w:rPr>
          <w:rFonts w:ascii="David" w:hAnsi="David"/>
          <w:rtl/>
        </w:rPr>
        <w:t>1.</w:t>
      </w:r>
      <w:r>
        <w:rPr>
          <w:rFonts w:ascii="David" w:hAnsi="David"/>
          <w:rtl/>
        </w:rPr>
        <w:tab/>
        <w:t>בקשה זו הוגשה בתיק זה שעניינו התנגדות לבקשה לצו קיום צוואתה מיום 28.5.2020 של המנוחה נ</w:t>
      </w:r>
      <w:r>
        <w:rPr>
          <w:rFonts w:ascii="David" w:hAnsi="David" w:hint="cs"/>
          <w:rtl/>
        </w:rPr>
        <w:t>.</w:t>
      </w:r>
      <w:r>
        <w:rPr>
          <w:rFonts w:ascii="David" w:hAnsi="David"/>
          <w:rtl/>
        </w:rPr>
        <w:t xml:space="preserve"> ג</w:t>
      </w:r>
      <w:r>
        <w:rPr>
          <w:rFonts w:ascii="David" w:hAnsi="David" w:hint="cs"/>
          <w:rtl/>
        </w:rPr>
        <w:t>.</w:t>
      </w:r>
      <w:r>
        <w:rPr>
          <w:rFonts w:ascii="David" w:hAnsi="David"/>
          <w:rtl/>
        </w:rPr>
        <w:t xml:space="preserve"> ז"ל (להלן בהתאמה- </w:t>
      </w:r>
      <w:r>
        <w:rPr>
          <w:rFonts w:ascii="Miriam" w:hAnsi="Miriam" w:cs="Miriam"/>
          <w:b/>
          <w:bCs/>
          <w:rtl/>
        </w:rPr>
        <w:t>הצוואה, המנוחה, נ</w:t>
      </w:r>
      <w:r>
        <w:rPr>
          <w:rFonts w:ascii="Miriam" w:hAnsi="Miriam" w:cs="Miriam" w:hint="cs"/>
          <w:b/>
          <w:bCs/>
          <w:rtl/>
        </w:rPr>
        <w:t>.</w:t>
      </w:r>
      <w:r>
        <w:rPr>
          <w:rFonts w:ascii="David" w:hAnsi="David"/>
          <w:rtl/>
        </w:rPr>
        <w:t>).</w:t>
      </w:r>
    </w:p>
    <w:p w:rsidR="00387C20" w:rsidRDefault="00387C20" w:rsidP="00387C20">
      <w:pPr>
        <w:ind w:left="720" w:hanging="720"/>
        <w:rPr>
          <w:rtl/>
        </w:rPr>
      </w:pPr>
    </w:p>
    <w:p w:rsidR="00387C20" w:rsidRDefault="00387C20" w:rsidP="00387C20">
      <w:pPr>
        <w:spacing w:line="360" w:lineRule="auto"/>
        <w:ind w:left="720" w:hanging="720"/>
        <w:jc w:val="both"/>
        <w:rPr>
          <w:rFonts w:ascii="David" w:hAnsi="David"/>
          <w:rtl/>
        </w:rPr>
      </w:pPr>
      <w:r>
        <w:rPr>
          <w:rFonts w:ascii="David" w:hAnsi="David"/>
          <w:rtl/>
        </w:rPr>
        <w:t>2.</w:t>
      </w:r>
      <w:r>
        <w:rPr>
          <w:rFonts w:ascii="David" w:hAnsi="David"/>
          <w:rtl/>
        </w:rPr>
        <w:tab/>
        <w:t>הזוכה על פי הצוואה היא המבקשת בתה של המנוחה. המתנגדים לבקשה הם המתנגד 1 חתנה של המנוחה שהיה נשוי לבתה השנייה של המנוחה ד</w:t>
      </w:r>
      <w:r>
        <w:rPr>
          <w:rFonts w:ascii="David" w:hAnsi="David" w:hint="cs"/>
          <w:rtl/>
        </w:rPr>
        <w:t>.</w:t>
      </w:r>
      <w:r>
        <w:rPr>
          <w:rFonts w:ascii="David" w:hAnsi="David"/>
          <w:rtl/>
        </w:rPr>
        <w:t xml:space="preserve"> שמה שהלכה לבית עולמה ביום 24.3.2020 (להלן-</w:t>
      </w:r>
      <w:r>
        <w:rPr>
          <w:rFonts w:ascii="Miriam" w:hAnsi="Miriam" w:cs="Miriam"/>
          <w:b/>
          <w:bCs/>
          <w:rtl/>
        </w:rPr>
        <w:t>ד</w:t>
      </w:r>
      <w:r>
        <w:rPr>
          <w:rFonts w:ascii="Miriam" w:hAnsi="Miriam" w:cs="Miriam" w:hint="cs"/>
          <w:b/>
          <w:bCs/>
          <w:rtl/>
        </w:rPr>
        <w:t>.</w:t>
      </w:r>
      <w:r>
        <w:rPr>
          <w:rFonts w:ascii="David" w:hAnsi="David"/>
          <w:rtl/>
        </w:rPr>
        <w:t>). עוד מתנגדות לצוואה בנותיה של ד</w:t>
      </w:r>
      <w:r>
        <w:rPr>
          <w:rFonts w:ascii="David" w:hAnsi="David" w:hint="cs"/>
          <w:rtl/>
        </w:rPr>
        <w:t>.</w:t>
      </w:r>
      <w:r>
        <w:rPr>
          <w:rFonts w:ascii="David" w:hAnsi="David"/>
          <w:rtl/>
        </w:rPr>
        <w:t xml:space="preserve"> (נכדותיה של המנוחה) המתנגדות 4-2.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3.</w:t>
      </w:r>
      <w:r>
        <w:rPr>
          <w:rFonts w:ascii="David" w:hAnsi="David"/>
          <w:rtl/>
        </w:rPr>
        <w:tab/>
        <w:t>ביום 12.2.2003 חתמו המנוחה נ</w:t>
      </w:r>
      <w:r>
        <w:rPr>
          <w:rFonts w:ascii="David" w:hAnsi="David" w:hint="cs"/>
          <w:rtl/>
        </w:rPr>
        <w:t>.</w:t>
      </w:r>
      <w:r>
        <w:rPr>
          <w:rFonts w:ascii="David" w:hAnsi="David"/>
          <w:rtl/>
        </w:rPr>
        <w:t xml:space="preserve"> ובעלה י</w:t>
      </w:r>
      <w:r>
        <w:rPr>
          <w:rFonts w:ascii="David" w:hAnsi="David" w:hint="cs"/>
          <w:rtl/>
        </w:rPr>
        <w:t>.</w:t>
      </w:r>
      <w:r>
        <w:rPr>
          <w:rFonts w:ascii="David" w:hAnsi="David"/>
          <w:rtl/>
        </w:rPr>
        <w:t xml:space="preserve"> על צוואה הדדית (להלן-</w:t>
      </w:r>
      <w:r>
        <w:rPr>
          <w:rFonts w:ascii="Miriam" w:hAnsi="Miriam" w:cs="Miriam"/>
          <w:b/>
          <w:bCs/>
          <w:rtl/>
        </w:rPr>
        <w:t>הצוואה</w:t>
      </w:r>
      <w:r>
        <w:rPr>
          <w:rFonts w:ascii="David" w:hAnsi="David"/>
          <w:rtl/>
        </w:rPr>
        <w:t xml:space="preserve"> </w:t>
      </w:r>
      <w:r>
        <w:rPr>
          <w:rFonts w:ascii="Miriam" w:hAnsi="Miriam" w:cs="Miriam"/>
          <w:b/>
          <w:bCs/>
          <w:rtl/>
        </w:rPr>
        <w:t>המוקדמת</w:t>
      </w:r>
      <w:r>
        <w:rPr>
          <w:rFonts w:ascii="David" w:hAnsi="David"/>
          <w:rtl/>
        </w:rPr>
        <w:t>). הבעל, י</w:t>
      </w:r>
      <w:r>
        <w:rPr>
          <w:rFonts w:ascii="David" w:hAnsi="David" w:hint="cs"/>
          <w:rtl/>
        </w:rPr>
        <w:t>.</w:t>
      </w:r>
      <w:r>
        <w:rPr>
          <w:rFonts w:ascii="David" w:hAnsi="David"/>
          <w:rtl/>
        </w:rPr>
        <w:t xml:space="preserve">, הלך לבית עולמו ביום 10.5.2016 וניתן תוקף לצוואתו המוקדמת ביום 17.8.2016. </w:t>
      </w:r>
    </w:p>
    <w:p w:rsidR="00387C20" w:rsidRDefault="00387C20" w:rsidP="00387C20">
      <w:pPr>
        <w:spacing w:line="360" w:lineRule="auto"/>
        <w:ind w:left="720" w:hanging="720"/>
        <w:jc w:val="both"/>
        <w:rPr>
          <w:rFonts w:ascii="David" w:hAnsi="David"/>
          <w:rtl/>
        </w:rPr>
      </w:pPr>
    </w:p>
    <w:p w:rsidR="00387C20" w:rsidRDefault="00387C20" w:rsidP="00CB0BA9">
      <w:pPr>
        <w:spacing w:line="360" w:lineRule="auto"/>
        <w:ind w:left="720" w:hanging="720"/>
        <w:jc w:val="both"/>
        <w:rPr>
          <w:rFonts w:ascii="David" w:hAnsi="David"/>
          <w:rtl/>
        </w:rPr>
      </w:pPr>
      <w:r>
        <w:rPr>
          <w:rFonts w:ascii="David" w:hAnsi="David"/>
          <w:rtl/>
        </w:rPr>
        <w:lastRenderedPageBreak/>
        <w:t>4.</w:t>
      </w:r>
      <w:r>
        <w:rPr>
          <w:rFonts w:ascii="David" w:hAnsi="David"/>
          <w:rtl/>
        </w:rPr>
        <w:tab/>
        <w:t>נ</w:t>
      </w:r>
      <w:r>
        <w:rPr>
          <w:rFonts w:ascii="David" w:hAnsi="David" w:hint="cs"/>
          <w:rtl/>
        </w:rPr>
        <w:t>.</w:t>
      </w:r>
      <w:r>
        <w:rPr>
          <w:rFonts w:ascii="David" w:hAnsi="David"/>
          <w:rtl/>
        </w:rPr>
        <w:t xml:space="preserve"> וי</w:t>
      </w:r>
      <w:r>
        <w:rPr>
          <w:rFonts w:ascii="David" w:hAnsi="David" w:hint="cs"/>
          <w:rtl/>
        </w:rPr>
        <w:t>.</w:t>
      </w:r>
      <w:r>
        <w:rPr>
          <w:rFonts w:ascii="David" w:hAnsi="David"/>
          <w:rtl/>
        </w:rPr>
        <w:t xml:space="preserve"> היו בחייהם בעלי מלוא הזכויות במשק חקלאי </w:t>
      </w:r>
      <w:r w:rsidR="00CB0BA9">
        <w:rPr>
          <w:rFonts w:ascii="David" w:hAnsi="David" w:hint="cs"/>
          <w:rtl/>
        </w:rPr>
        <w:t>-</w:t>
      </w:r>
      <w:r>
        <w:rPr>
          <w:rFonts w:ascii="David" w:hAnsi="David" w:hint="cs"/>
          <w:rtl/>
        </w:rPr>
        <w:t>--</w:t>
      </w:r>
      <w:r>
        <w:rPr>
          <w:rFonts w:ascii="David" w:hAnsi="David"/>
          <w:rtl/>
        </w:rPr>
        <w:t xml:space="preserve"> ב</w:t>
      </w:r>
      <w:r>
        <w:rPr>
          <w:rFonts w:ascii="David" w:hAnsi="David" w:hint="cs"/>
          <w:rtl/>
        </w:rPr>
        <w:t xml:space="preserve"> ----</w:t>
      </w:r>
      <w:r>
        <w:rPr>
          <w:rFonts w:ascii="David" w:hAnsi="David"/>
          <w:rtl/>
        </w:rPr>
        <w:t xml:space="preserve"> (להלן-</w:t>
      </w:r>
      <w:r>
        <w:rPr>
          <w:rFonts w:ascii="Miriam" w:hAnsi="Miriam" w:cs="Miriam"/>
          <w:b/>
          <w:bCs/>
          <w:rtl/>
        </w:rPr>
        <w:t>המשק</w:t>
      </w:r>
      <w:r>
        <w:rPr>
          <w:rFonts w:ascii="David" w:hAnsi="David"/>
          <w:rtl/>
        </w:rPr>
        <w:t xml:space="preserve">).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5.</w:t>
      </w:r>
      <w:r>
        <w:rPr>
          <w:rFonts w:ascii="David" w:hAnsi="David"/>
          <w:rtl/>
        </w:rPr>
        <w:tab/>
        <w:t>על פי הצוואה המוקדמת ציווה י</w:t>
      </w:r>
      <w:r>
        <w:rPr>
          <w:rFonts w:ascii="David" w:hAnsi="David" w:hint="cs"/>
          <w:rtl/>
        </w:rPr>
        <w:t>.</w:t>
      </w:r>
      <w:r>
        <w:rPr>
          <w:rFonts w:ascii="David" w:hAnsi="David"/>
          <w:rtl/>
        </w:rPr>
        <w:t xml:space="preserve"> את מלוא רכושו לנ</w:t>
      </w:r>
      <w:r>
        <w:rPr>
          <w:rFonts w:ascii="David" w:hAnsi="David" w:hint="cs"/>
          <w:rtl/>
        </w:rPr>
        <w:t>.</w:t>
      </w:r>
      <w:r>
        <w:rPr>
          <w:rFonts w:ascii="David" w:hAnsi="David"/>
          <w:rtl/>
        </w:rPr>
        <w:t xml:space="preserve"> וככל שלא תהא בחיים  בעת פטירתו ציווה את כל רכושו ובכלל זה את המשק לבת ד</w:t>
      </w:r>
      <w:r>
        <w:rPr>
          <w:rFonts w:ascii="David" w:hAnsi="David" w:hint="cs"/>
          <w:rtl/>
        </w:rPr>
        <w:t>.</w:t>
      </w:r>
      <w:r>
        <w:rPr>
          <w:rFonts w:ascii="David" w:hAnsi="David"/>
          <w:rtl/>
        </w:rPr>
        <w:t xml:space="preserve"> בכפוף לתשלום סך של 65,000 $ למבקשת.</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ab/>
      </w:r>
      <w:r w:rsidR="00244ECA">
        <w:rPr>
          <w:rFonts w:ascii="David" w:hAnsi="David"/>
          <w:rtl/>
        </w:rPr>
        <w:t>נ</w:t>
      </w:r>
      <w:r w:rsidR="00244ECA">
        <w:rPr>
          <w:rFonts w:ascii="David" w:hAnsi="David" w:hint="cs"/>
          <w:rtl/>
        </w:rPr>
        <w:t>.</w:t>
      </w:r>
      <w:r>
        <w:rPr>
          <w:rFonts w:ascii="David" w:hAnsi="David"/>
          <w:rtl/>
        </w:rPr>
        <w:t xml:space="preserve"> ציוותה ציווי דומה במהופך: ציוותה את כל רכושה לי</w:t>
      </w:r>
      <w:r>
        <w:rPr>
          <w:rFonts w:ascii="David" w:hAnsi="David" w:hint="cs"/>
          <w:rtl/>
        </w:rPr>
        <w:t>.</w:t>
      </w:r>
      <w:r>
        <w:rPr>
          <w:rFonts w:ascii="David" w:hAnsi="David"/>
          <w:rtl/>
        </w:rPr>
        <w:t xml:space="preserve"> וככל שלא יהא י</w:t>
      </w:r>
      <w:r>
        <w:rPr>
          <w:rFonts w:ascii="David" w:hAnsi="David" w:hint="cs"/>
          <w:rtl/>
        </w:rPr>
        <w:t>.</w:t>
      </w:r>
      <w:r>
        <w:rPr>
          <w:rFonts w:ascii="David" w:hAnsi="David"/>
          <w:rtl/>
        </w:rPr>
        <w:t xml:space="preserve"> בחיים  בעת פטירתה ציוותה את כל רכושה ובכלל זה את המשק לבת ד</w:t>
      </w:r>
      <w:r>
        <w:rPr>
          <w:rFonts w:ascii="David" w:hAnsi="David" w:hint="cs"/>
          <w:rtl/>
        </w:rPr>
        <w:t>.</w:t>
      </w:r>
      <w:r>
        <w:rPr>
          <w:rFonts w:ascii="David" w:hAnsi="David"/>
          <w:rtl/>
        </w:rPr>
        <w:t xml:space="preserve"> בכפוף לתשלום סך של 65,000 $ למבקשת.</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6.</w:t>
      </w:r>
      <w:r>
        <w:rPr>
          <w:rFonts w:ascii="David" w:hAnsi="David"/>
          <w:rtl/>
        </w:rPr>
        <w:tab/>
        <w:t>כאמור, נ</w:t>
      </w:r>
      <w:r>
        <w:rPr>
          <w:rFonts w:ascii="David" w:hAnsi="David" w:hint="cs"/>
          <w:rtl/>
        </w:rPr>
        <w:t>.</w:t>
      </w:r>
      <w:r>
        <w:rPr>
          <w:rFonts w:ascii="David" w:hAnsi="David"/>
          <w:rtl/>
        </w:rPr>
        <w:t xml:space="preserve"> ערכה צוואה מאוחרת לצוואה המוקדמת, היא הצוואה, ובה ציוותה, בין היתר, את המשק למבקשת. נ</w:t>
      </w:r>
      <w:r>
        <w:rPr>
          <w:rFonts w:ascii="David" w:hAnsi="David" w:hint="cs"/>
          <w:rtl/>
        </w:rPr>
        <w:t>.</w:t>
      </w:r>
      <w:r>
        <w:rPr>
          <w:rFonts w:ascii="David" w:hAnsi="David"/>
          <w:rtl/>
        </w:rPr>
        <w:t xml:space="preserve"> ציינה והתייחסה מפורשות בצוואתה (ס' 5.1.1 (ב)) לבית שנבנה ע"י המתנגד 1 וד</w:t>
      </w:r>
      <w:r>
        <w:rPr>
          <w:rFonts w:ascii="David" w:hAnsi="David" w:hint="cs"/>
          <w:rtl/>
        </w:rPr>
        <w:t>.</w:t>
      </w:r>
      <w:r>
        <w:rPr>
          <w:rFonts w:ascii="David" w:hAnsi="David"/>
          <w:rtl/>
        </w:rPr>
        <w:t xml:space="preserve"> במשק בזו הלשון:</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1440" w:hanging="720"/>
        <w:jc w:val="both"/>
        <w:rPr>
          <w:rFonts w:ascii="David" w:hAnsi="David"/>
          <w:b/>
          <w:bCs/>
          <w:rtl/>
        </w:rPr>
      </w:pPr>
      <w:r>
        <w:rPr>
          <w:rFonts w:ascii="David" w:hAnsi="David"/>
          <w:rtl/>
        </w:rPr>
        <w:t>"</w:t>
      </w:r>
      <w:r>
        <w:rPr>
          <w:rFonts w:ascii="David" w:hAnsi="David"/>
          <w:b/>
          <w:bCs/>
          <w:rtl/>
        </w:rPr>
        <w:t>ב</w:t>
      </w:r>
      <w:r>
        <w:rPr>
          <w:rFonts w:ascii="David" w:hAnsi="David"/>
          <w:rtl/>
        </w:rPr>
        <w:t>.</w:t>
      </w:r>
      <w:r>
        <w:rPr>
          <w:rFonts w:ascii="David" w:hAnsi="David"/>
          <w:rtl/>
        </w:rPr>
        <w:tab/>
      </w:r>
      <w:r>
        <w:rPr>
          <w:rFonts w:ascii="David" w:hAnsi="David"/>
          <w:b/>
          <w:bCs/>
          <w:rtl/>
        </w:rPr>
        <w:t>הואיל ובתחומי המשק נבנה בית מגורים על ידי בתי המנוחה ד</w:t>
      </w:r>
      <w:r>
        <w:rPr>
          <w:rFonts w:ascii="David" w:hAnsi="David" w:hint="cs"/>
          <w:b/>
          <w:bCs/>
          <w:rtl/>
        </w:rPr>
        <w:t>.</w:t>
      </w:r>
      <w:r>
        <w:rPr>
          <w:rFonts w:ascii="David" w:hAnsi="David"/>
          <w:b/>
          <w:bCs/>
          <w:rtl/>
        </w:rPr>
        <w:t xml:space="preserve"> ר</w:t>
      </w:r>
      <w:r>
        <w:rPr>
          <w:rFonts w:ascii="David" w:hAnsi="David" w:hint="cs"/>
          <w:b/>
          <w:bCs/>
          <w:rtl/>
        </w:rPr>
        <w:t>.</w:t>
      </w:r>
      <w:r>
        <w:rPr>
          <w:rFonts w:ascii="David" w:hAnsi="David"/>
          <w:b/>
          <w:bCs/>
          <w:rtl/>
        </w:rPr>
        <w:t xml:space="preserve"> ז"ל  ת"ז</w:t>
      </w:r>
      <w:r>
        <w:rPr>
          <w:rFonts w:ascii="David" w:hAnsi="David"/>
          <w:rtl/>
        </w:rPr>
        <w:t>...</w:t>
      </w:r>
      <w:r>
        <w:rPr>
          <w:rFonts w:ascii="David" w:hAnsi="David"/>
          <w:b/>
          <w:bCs/>
          <w:rtl/>
        </w:rPr>
        <w:t xml:space="preserve"> ובעלה ד</w:t>
      </w:r>
      <w:r>
        <w:rPr>
          <w:rFonts w:ascii="David" w:hAnsi="David" w:hint="cs"/>
          <w:b/>
          <w:bCs/>
          <w:rtl/>
        </w:rPr>
        <w:t>.</w:t>
      </w:r>
      <w:r>
        <w:rPr>
          <w:rFonts w:ascii="David" w:hAnsi="David"/>
          <w:b/>
          <w:bCs/>
          <w:rtl/>
        </w:rPr>
        <w:t xml:space="preserve"> ר</w:t>
      </w:r>
      <w:r>
        <w:rPr>
          <w:rFonts w:ascii="David" w:hAnsi="David" w:hint="cs"/>
          <w:b/>
          <w:bCs/>
          <w:rtl/>
        </w:rPr>
        <w:t>.</w:t>
      </w:r>
      <w:r>
        <w:rPr>
          <w:rFonts w:ascii="David" w:hAnsi="David"/>
          <w:b/>
          <w:bCs/>
          <w:rtl/>
        </w:rPr>
        <w:t xml:space="preserve"> ת"ז</w:t>
      </w:r>
      <w:r>
        <w:rPr>
          <w:rFonts w:ascii="David" w:hAnsi="David"/>
          <w:rtl/>
        </w:rPr>
        <w:t>...</w:t>
      </w:r>
      <w:r>
        <w:rPr>
          <w:rFonts w:ascii="David" w:hAnsi="David"/>
          <w:b/>
          <w:bCs/>
          <w:rtl/>
        </w:rPr>
        <w:t xml:space="preserve"> ובית זה נבנה על חשבונם [להלן: "בית ר</w:t>
      </w:r>
      <w:r>
        <w:rPr>
          <w:rFonts w:ascii="David" w:hAnsi="David" w:hint="cs"/>
          <w:b/>
          <w:bCs/>
          <w:rtl/>
        </w:rPr>
        <w:t>.</w:t>
      </w:r>
      <w:r>
        <w:rPr>
          <w:rFonts w:ascii="David" w:hAnsi="David"/>
          <w:b/>
          <w:bCs/>
          <w:rtl/>
        </w:rPr>
        <w:t>"], אבקש מבתי ס</w:t>
      </w:r>
      <w:r>
        <w:rPr>
          <w:rFonts w:ascii="David" w:hAnsi="David" w:hint="cs"/>
          <w:b/>
          <w:bCs/>
          <w:rtl/>
        </w:rPr>
        <w:t>.</w:t>
      </w:r>
      <w:r>
        <w:rPr>
          <w:rFonts w:ascii="David" w:hAnsi="David"/>
          <w:b/>
          <w:bCs/>
          <w:rtl/>
        </w:rPr>
        <w:t xml:space="preserve"> לפעול בתיאום עם ד</w:t>
      </w:r>
      <w:r>
        <w:rPr>
          <w:rFonts w:ascii="David" w:hAnsi="David" w:hint="cs"/>
          <w:b/>
          <w:bCs/>
          <w:rtl/>
        </w:rPr>
        <w:t>.</w:t>
      </w:r>
      <w:r>
        <w:rPr>
          <w:rFonts w:ascii="David" w:hAnsi="David"/>
          <w:b/>
          <w:bCs/>
          <w:rtl/>
        </w:rPr>
        <w:t xml:space="preserve"> ר</w:t>
      </w:r>
      <w:r>
        <w:rPr>
          <w:rFonts w:ascii="David" w:hAnsi="David" w:hint="cs"/>
          <w:b/>
          <w:bCs/>
          <w:rtl/>
        </w:rPr>
        <w:t>.</w:t>
      </w:r>
      <w:r>
        <w:rPr>
          <w:rFonts w:ascii="David" w:hAnsi="David"/>
          <w:b/>
          <w:bCs/>
          <w:rtl/>
        </w:rPr>
        <w:t xml:space="preserve"> על מנת לאפשר לו את פיצול בית ר</w:t>
      </w:r>
      <w:r>
        <w:rPr>
          <w:rFonts w:ascii="David" w:hAnsi="David" w:hint="cs"/>
          <w:b/>
          <w:bCs/>
          <w:rtl/>
        </w:rPr>
        <w:t>.</w:t>
      </w:r>
      <w:r>
        <w:rPr>
          <w:rFonts w:ascii="David" w:hAnsi="David"/>
          <w:b/>
          <w:bCs/>
          <w:rtl/>
        </w:rPr>
        <w:t xml:space="preserve"> מהמשק באופן שבית ר</w:t>
      </w:r>
      <w:r>
        <w:rPr>
          <w:rFonts w:ascii="David" w:hAnsi="David" w:hint="cs"/>
          <w:b/>
          <w:bCs/>
          <w:rtl/>
        </w:rPr>
        <w:t>.</w:t>
      </w:r>
      <w:r>
        <w:rPr>
          <w:rFonts w:ascii="David" w:hAnsi="David"/>
          <w:b/>
          <w:bCs/>
          <w:rtl/>
        </w:rPr>
        <w:t xml:space="preserve"> יישאר קניינו ויהיה רשום על שמו. למען הסר ספק אני קובעת כי מגרש המגורים עליו בנוי בית ר</w:t>
      </w:r>
      <w:r>
        <w:rPr>
          <w:rFonts w:ascii="David" w:hAnsi="David" w:hint="cs"/>
          <w:b/>
          <w:bCs/>
          <w:rtl/>
        </w:rPr>
        <w:t>.</w:t>
      </w:r>
      <w:r>
        <w:rPr>
          <w:rFonts w:ascii="David" w:hAnsi="David"/>
          <w:b/>
          <w:bCs/>
          <w:rtl/>
        </w:rPr>
        <w:t xml:space="preserve"> בהתאם לגודל אשר יאושר ע"י רמ"י בתיאום עם ס</w:t>
      </w:r>
      <w:r>
        <w:rPr>
          <w:rFonts w:ascii="David" w:hAnsi="David" w:hint="cs"/>
          <w:b/>
          <w:bCs/>
          <w:rtl/>
        </w:rPr>
        <w:t>.</w:t>
      </w:r>
      <w:r>
        <w:rPr>
          <w:rFonts w:ascii="David" w:hAnsi="David"/>
          <w:b/>
          <w:bCs/>
          <w:rtl/>
        </w:rPr>
        <w:t>, יעבור בירושה לד</w:t>
      </w:r>
      <w:r>
        <w:rPr>
          <w:rFonts w:ascii="David" w:hAnsi="David" w:hint="cs"/>
          <w:b/>
          <w:bCs/>
          <w:rtl/>
        </w:rPr>
        <w:t>.</w:t>
      </w:r>
      <w:r>
        <w:rPr>
          <w:rFonts w:ascii="David" w:hAnsi="David"/>
          <w:b/>
          <w:bCs/>
          <w:rtl/>
        </w:rPr>
        <w:t xml:space="preserve"> ר</w:t>
      </w:r>
      <w:r>
        <w:rPr>
          <w:rFonts w:ascii="David" w:hAnsi="David" w:hint="cs"/>
          <w:b/>
          <w:bCs/>
          <w:rtl/>
        </w:rPr>
        <w:t>.</w:t>
      </w:r>
      <w:r>
        <w:rPr>
          <w:rFonts w:ascii="David" w:hAnsi="David"/>
          <w:b/>
          <w:bCs/>
          <w:rtl/>
        </w:rPr>
        <w:t xml:space="preserve"> והוא לא יצטרך לרכשו מאת ס</w:t>
      </w:r>
      <w:r>
        <w:rPr>
          <w:rFonts w:ascii="David" w:hAnsi="David" w:hint="cs"/>
          <w:b/>
          <w:bCs/>
          <w:rtl/>
        </w:rPr>
        <w:t>.</w:t>
      </w:r>
      <w:r>
        <w:rPr>
          <w:rFonts w:ascii="David" w:hAnsi="David"/>
          <w:b/>
          <w:bCs/>
          <w:rtl/>
        </w:rPr>
        <w:t>.</w:t>
      </w:r>
    </w:p>
    <w:p w:rsidR="00387C20" w:rsidRDefault="00387C20" w:rsidP="00387C20">
      <w:pPr>
        <w:spacing w:line="360" w:lineRule="auto"/>
        <w:ind w:left="1440" w:hanging="720"/>
        <w:jc w:val="both"/>
        <w:rPr>
          <w:rFonts w:ascii="David" w:hAnsi="David"/>
          <w:rtl/>
        </w:rPr>
      </w:pPr>
      <w:r>
        <w:rPr>
          <w:rFonts w:ascii="David" w:hAnsi="David"/>
          <w:b/>
          <w:bCs/>
          <w:rtl/>
        </w:rPr>
        <w:t>ג.</w:t>
      </w:r>
      <w:r>
        <w:rPr>
          <w:rFonts w:ascii="David" w:hAnsi="David"/>
          <w:b/>
          <w:bCs/>
          <w:rtl/>
        </w:rPr>
        <w:tab/>
        <w:t>ד</w:t>
      </w:r>
      <w:r>
        <w:rPr>
          <w:rFonts w:ascii="David" w:hAnsi="David" w:hint="cs"/>
          <w:b/>
          <w:bCs/>
          <w:rtl/>
        </w:rPr>
        <w:t>.</w:t>
      </w:r>
      <w:r>
        <w:rPr>
          <w:rFonts w:ascii="David" w:hAnsi="David"/>
          <w:b/>
          <w:bCs/>
          <w:rtl/>
        </w:rPr>
        <w:t xml:space="preserve"> ר</w:t>
      </w:r>
      <w:r>
        <w:rPr>
          <w:rFonts w:ascii="David" w:hAnsi="David" w:hint="cs"/>
          <w:b/>
          <w:bCs/>
          <w:rtl/>
        </w:rPr>
        <w:t>.</w:t>
      </w:r>
      <w:r>
        <w:rPr>
          <w:rFonts w:ascii="David" w:hAnsi="David"/>
          <w:b/>
          <w:bCs/>
          <w:rtl/>
        </w:rPr>
        <w:t xml:space="preserve"> וילדיו יוכלו להמשיך ולהתגורר בבית ר</w:t>
      </w:r>
      <w:r>
        <w:rPr>
          <w:rFonts w:ascii="David" w:hAnsi="David" w:hint="cs"/>
          <w:b/>
          <w:bCs/>
          <w:rtl/>
        </w:rPr>
        <w:t>.</w:t>
      </w:r>
      <w:r>
        <w:rPr>
          <w:rFonts w:ascii="David" w:hAnsi="David"/>
          <w:b/>
          <w:bCs/>
          <w:rtl/>
        </w:rPr>
        <w:t xml:space="preserve"> ללא כל תנאי כל עוד לד</w:t>
      </w:r>
      <w:r>
        <w:rPr>
          <w:rFonts w:ascii="David" w:hAnsi="David" w:hint="cs"/>
          <w:b/>
          <w:bCs/>
          <w:rtl/>
        </w:rPr>
        <w:t>.</w:t>
      </w:r>
      <w:r>
        <w:rPr>
          <w:rFonts w:ascii="David" w:hAnsi="David"/>
          <w:b/>
          <w:bCs/>
          <w:rtl/>
        </w:rPr>
        <w:t xml:space="preserve"> הזכות להתגורר בבית ר</w:t>
      </w:r>
      <w:r>
        <w:rPr>
          <w:rFonts w:ascii="David" w:hAnsi="David" w:hint="cs"/>
          <w:b/>
          <w:bCs/>
          <w:rtl/>
        </w:rPr>
        <w:t>.</w:t>
      </w:r>
      <w:r>
        <w:rPr>
          <w:rFonts w:ascii="David" w:hAnsi="David"/>
          <w:b/>
          <w:bCs/>
          <w:rtl/>
        </w:rPr>
        <w:t xml:space="preserve"> על פי הוראות צוואה זו</w:t>
      </w:r>
      <w:r>
        <w:rPr>
          <w:rFonts w:ascii="David" w:hAnsi="David"/>
          <w:rtl/>
        </w:rPr>
        <w:t>".</w:t>
      </w:r>
    </w:p>
    <w:p w:rsidR="00387C20" w:rsidRDefault="00387C20" w:rsidP="00387C20">
      <w:pPr>
        <w:spacing w:line="360" w:lineRule="auto"/>
        <w:jc w:val="both"/>
        <w:rPr>
          <w:rFonts w:ascii="David" w:hAnsi="David"/>
          <w:b/>
          <w:bCs/>
          <w:u w:val="single"/>
          <w:rtl/>
        </w:rPr>
      </w:pPr>
    </w:p>
    <w:p w:rsidR="00387C20" w:rsidRDefault="00387C20" w:rsidP="00387C20">
      <w:pPr>
        <w:spacing w:line="360" w:lineRule="auto"/>
        <w:jc w:val="both"/>
        <w:rPr>
          <w:rFonts w:ascii="David" w:hAnsi="David"/>
          <w:b/>
          <w:bCs/>
          <w:rtl/>
        </w:rPr>
      </w:pPr>
      <w:r>
        <w:rPr>
          <w:rFonts w:ascii="David" w:hAnsi="David"/>
          <w:b/>
          <w:bCs/>
          <w:u w:val="single"/>
          <w:rtl/>
        </w:rPr>
        <w:t>עיקר טיעוני המבקשת</w:t>
      </w:r>
      <w:r>
        <w:rPr>
          <w:rFonts w:ascii="David" w:hAnsi="David"/>
          <w:b/>
          <w:bCs/>
          <w:rtl/>
        </w:rPr>
        <w:t>:</w:t>
      </w:r>
    </w:p>
    <w:p w:rsidR="00387C20" w:rsidRDefault="00387C20" w:rsidP="00387C20">
      <w:pPr>
        <w:spacing w:line="360" w:lineRule="auto"/>
        <w:jc w:val="both"/>
        <w:rPr>
          <w:rFonts w:ascii="David" w:hAnsi="David"/>
          <w:b/>
          <w:bCs/>
          <w:rtl/>
        </w:rPr>
      </w:pPr>
    </w:p>
    <w:p w:rsidR="00387C20" w:rsidRDefault="00387C20" w:rsidP="00387C20">
      <w:pPr>
        <w:spacing w:line="360" w:lineRule="auto"/>
        <w:ind w:left="720" w:hanging="720"/>
        <w:jc w:val="both"/>
        <w:rPr>
          <w:rFonts w:ascii="David" w:hAnsi="David"/>
          <w:rtl/>
        </w:rPr>
      </w:pPr>
      <w:r>
        <w:rPr>
          <w:rFonts w:ascii="David" w:hAnsi="David"/>
          <w:rtl/>
        </w:rPr>
        <w:t>7.</w:t>
      </w:r>
      <w:r>
        <w:rPr>
          <w:rFonts w:ascii="David" w:hAnsi="David"/>
          <w:rtl/>
        </w:rPr>
        <w:tab/>
        <w:t>הפרשנות של הביטוי "</w:t>
      </w:r>
      <w:r>
        <w:rPr>
          <w:rFonts w:ascii="David" w:hAnsi="David"/>
          <w:b/>
          <w:bCs/>
          <w:rtl/>
        </w:rPr>
        <w:t>כל המעוניין בדבר</w:t>
      </w:r>
      <w:r>
        <w:rPr>
          <w:rFonts w:ascii="David" w:hAnsi="David"/>
          <w:rtl/>
        </w:rPr>
        <w:t>" שבסעיף 67 לחוק הירושה תשכ"ה-1965 מתייחסת "...</w:t>
      </w:r>
      <w:r>
        <w:rPr>
          <w:rFonts w:ascii="David" w:hAnsi="David"/>
          <w:b/>
          <w:bCs/>
          <w:rtl/>
        </w:rPr>
        <w:t>למי שעשוי ליהנות באופן ממשי מעיזבונו של המנוח, בין באופן ישיר ובין באופן עקיף אם תידחה הבקשה לקיום הצוואה</w:t>
      </w:r>
      <w:r>
        <w:rPr>
          <w:rFonts w:ascii="David" w:hAnsi="David"/>
          <w:rtl/>
        </w:rPr>
        <w:t>...</w:t>
      </w:r>
      <w:r>
        <w:rPr>
          <w:rFonts w:ascii="David" w:hAnsi="David"/>
          <w:b/>
          <w:bCs/>
          <w:rtl/>
        </w:rPr>
        <w:t>ורק מי שיש לו אינטרס ממוני אובייקטיבי עכשווי בעיזבון וזאת אף להבדיל מאינטרס עתידי</w:t>
      </w:r>
      <w:r>
        <w:rPr>
          <w:rFonts w:ascii="David" w:hAnsi="David"/>
          <w:rtl/>
        </w:rPr>
        <w:t xml:space="preserve">". (סעיף 2 לבקשה).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ab/>
        <w:t>המשמעות על כן על פי המבקשת היא שמי "...</w:t>
      </w:r>
      <w:r>
        <w:rPr>
          <w:rFonts w:ascii="David" w:hAnsi="David"/>
          <w:b/>
          <w:bCs/>
          <w:rtl/>
        </w:rPr>
        <w:t>שאינו טוען להיותו זוכה מכוח צוואה קודמת של המנוח ואינו יורש על פי דין של המנוח  אינו יכול להיות "מעוניין בדבר" מכוח הוראות סעיף 67 לחוק, ובהתאם לכך לא היה זכאי להגיש את ההתנגדות לקיום הצוואה</w:t>
      </w:r>
      <w:r>
        <w:rPr>
          <w:rFonts w:ascii="David" w:hAnsi="David"/>
          <w:rtl/>
        </w:rPr>
        <w:t>" (סעיף 3 לבקשה).</w:t>
      </w:r>
    </w:p>
    <w:p w:rsidR="00387C20" w:rsidRDefault="00387C20" w:rsidP="00387C20">
      <w:pPr>
        <w:spacing w:line="360" w:lineRule="auto"/>
        <w:ind w:left="720" w:hanging="720"/>
        <w:jc w:val="both"/>
        <w:rPr>
          <w:rFonts w:ascii="David" w:hAnsi="David"/>
          <w:rtl/>
        </w:rPr>
      </w:pPr>
      <w:r>
        <w:rPr>
          <w:rFonts w:ascii="David" w:hAnsi="David"/>
          <w:rtl/>
        </w:rPr>
        <w:tab/>
        <w:t>דברי המבקשת כוונו כלפי המתנגד 1 (להלן-</w:t>
      </w:r>
      <w:r>
        <w:rPr>
          <w:rFonts w:ascii="Miriam" w:hAnsi="Miriam" w:cs="Miriam"/>
          <w:b/>
          <w:bCs/>
          <w:rtl/>
        </w:rPr>
        <w:t>המתנגד</w:t>
      </w:r>
      <w:r>
        <w:rPr>
          <w:rFonts w:ascii="David" w:hAnsi="David"/>
          <w:rtl/>
        </w:rPr>
        <w:t>) מי שהיה נשוי עד לפטירתה  לד</w:t>
      </w:r>
      <w:r>
        <w:rPr>
          <w:rFonts w:ascii="David" w:hAnsi="David" w:hint="cs"/>
          <w:rtl/>
        </w:rPr>
        <w:t>.</w:t>
      </w:r>
      <w:r>
        <w:rPr>
          <w:rFonts w:ascii="David" w:hAnsi="David"/>
          <w:rtl/>
        </w:rPr>
        <w:t xml:space="preserve"> והוא אבי נכדותיה של המנוחה. המתנגד אינו יורש על פי דין של נ</w:t>
      </w:r>
      <w:r>
        <w:rPr>
          <w:rFonts w:ascii="David" w:hAnsi="David" w:hint="cs"/>
          <w:rtl/>
        </w:rPr>
        <w:t>.</w:t>
      </w:r>
      <w:r>
        <w:rPr>
          <w:rFonts w:ascii="David" w:hAnsi="David"/>
          <w:rtl/>
        </w:rPr>
        <w:t xml:space="preserve"> המנוחה מכוח החוק. כך, גם בצוואתה המוקדמת של המנוחה, זו משנת 2003, (נטען שטרם הוגשה בקשה לקיומה), המתנגד לא מוזכר בה, הוא אינו זוכה בה גם לא במשתמע שכן בסעיף 6 לצוואה המוקדמת מצוינים  במפורש שמות הזוכים על פי הצוואה והוא לא ביניהם.</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ab/>
        <w:t xml:space="preserve">משכך אין למתנגד  מעמד או זכות להגיש את ההתנגדות ויש לסלק על הסף את ההתנגדות מטעמו.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jc w:val="both"/>
        <w:rPr>
          <w:rFonts w:ascii="David" w:hAnsi="David"/>
          <w:b/>
          <w:bCs/>
          <w:rtl/>
        </w:rPr>
      </w:pPr>
      <w:r>
        <w:rPr>
          <w:rFonts w:ascii="David" w:hAnsi="David"/>
          <w:b/>
          <w:bCs/>
          <w:u w:val="single"/>
          <w:rtl/>
        </w:rPr>
        <w:t xml:space="preserve">עיקר טיעוני המתנגד </w:t>
      </w:r>
      <w:r>
        <w:rPr>
          <w:rFonts w:ascii="David" w:hAnsi="David"/>
          <w:b/>
          <w:bCs/>
          <w:rtl/>
        </w:rPr>
        <w:t>:</w:t>
      </w:r>
    </w:p>
    <w:p w:rsidR="00387C20" w:rsidRDefault="00387C20" w:rsidP="00387C20">
      <w:pPr>
        <w:spacing w:line="360" w:lineRule="auto"/>
        <w:jc w:val="both"/>
        <w:rPr>
          <w:rFonts w:ascii="David" w:hAnsi="David"/>
          <w:b/>
          <w:bCs/>
          <w:rtl/>
        </w:rPr>
      </w:pPr>
    </w:p>
    <w:p w:rsidR="00387C20" w:rsidRDefault="00387C20" w:rsidP="00387C20">
      <w:pPr>
        <w:spacing w:line="360" w:lineRule="auto"/>
        <w:ind w:left="720" w:hanging="720"/>
        <w:jc w:val="both"/>
        <w:rPr>
          <w:rFonts w:ascii="David" w:hAnsi="David"/>
          <w:sz w:val="22"/>
          <w:szCs w:val="22"/>
          <w:rtl/>
        </w:rPr>
      </w:pPr>
      <w:r>
        <w:rPr>
          <w:rFonts w:ascii="David" w:hAnsi="David"/>
          <w:rtl/>
        </w:rPr>
        <w:t>8.</w:t>
      </w:r>
      <w:r>
        <w:rPr>
          <w:rFonts w:ascii="David" w:hAnsi="David"/>
          <w:rtl/>
        </w:rPr>
        <w:tab/>
        <w:t>התנגדותו לצוואה מתבססת, בין היתר, על סעיף 34 לחוק הירושה. לאמור הענקת המשק בצוואה למבקשת נגועה בכך שהיא "...</w:t>
      </w:r>
      <w:r>
        <w:rPr>
          <w:rFonts w:ascii="David" w:hAnsi="David"/>
          <w:b/>
          <w:bCs/>
          <w:rtl/>
        </w:rPr>
        <w:t>לא חוקית או מוסרית או בלתי אפשרית או נוגדת את תקנת הציבור</w:t>
      </w:r>
      <w:r>
        <w:rPr>
          <w:rFonts w:ascii="David" w:hAnsi="David"/>
          <w:rtl/>
        </w:rPr>
        <w:t>" (סעיף 1 לתגובה). הורשת המשק למבקשת בטלה שכן הזכויות במשק שייכות למתנגדים "</w:t>
      </w:r>
      <w:r>
        <w:rPr>
          <w:rFonts w:ascii="David" w:hAnsi="David"/>
          <w:b/>
          <w:bCs/>
          <w:rtl/>
        </w:rPr>
        <w:t xml:space="preserve">מכוח </w:t>
      </w:r>
      <w:r>
        <w:rPr>
          <w:rFonts w:ascii="David" w:hAnsi="David"/>
          <w:b/>
          <w:bCs/>
          <w:u w:val="single"/>
          <w:rtl/>
        </w:rPr>
        <w:t>מתנה שהושלמה</w:t>
      </w:r>
      <w:r>
        <w:rPr>
          <w:rFonts w:ascii="David" w:hAnsi="David"/>
          <w:b/>
          <w:bCs/>
          <w:rtl/>
        </w:rPr>
        <w:t xml:space="preserve"> (קרי, מתנה שניתנה לד</w:t>
      </w:r>
      <w:r>
        <w:rPr>
          <w:rFonts w:ascii="David" w:hAnsi="David" w:hint="cs"/>
          <w:b/>
          <w:bCs/>
          <w:rtl/>
        </w:rPr>
        <w:t>.</w:t>
      </w:r>
      <w:r>
        <w:rPr>
          <w:rFonts w:ascii="David" w:hAnsi="David"/>
          <w:b/>
          <w:bCs/>
          <w:rtl/>
        </w:rPr>
        <w:t xml:space="preserve"> המנוחה </w:t>
      </w:r>
      <w:r>
        <w:rPr>
          <w:rFonts w:ascii="David" w:hAnsi="David"/>
          <w:b/>
          <w:bCs/>
          <w:u w:val="single"/>
          <w:rtl/>
        </w:rPr>
        <w:t>ולמתנגד 1</w:t>
      </w:r>
      <w:r>
        <w:rPr>
          <w:rFonts w:ascii="David" w:hAnsi="David"/>
          <w:b/>
          <w:bCs/>
          <w:rtl/>
        </w:rPr>
        <w:t xml:space="preserve"> ו/או </w:t>
      </w:r>
      <w:r>
        <w:rPr>
          <w:rFonts w:ascii="David" w:hAnsi="David"/>
          <w:b/>
          <w:bCs/>
          <w:u w:val="single"/>
          <w:rtl/>
        </w:rPr>
        <w:t>התחייבות לתת מתנה</w:t>
      </w:r>
      <w:r>
        <w:rPr>
          <w:rFonts w:ascii="David" w:hAnsi="David"/>
          <w:b/>
          <w:bCs/>
          <w:rtl/>
        </w:rPr>
        <w:t xml:space="preserve"> (קרי התחייבות לתת מתנה שניתנה לד</w:t>
      </w:r>
      <w:r>
        <w:rPr>
          <w:rFonts w:ascii="David" w:hAnsi="David" w:hint="cs"/>
          <w:b/>
          <w:bCs/>
          <w:rtl/>
        </w:rPr>
        <w:t>.</w:t>
      </w:r>
      <w:r>
        <w:rPr>
          <w:rFonts w:ascii="David" w:hAnsi="David"/>
          <w:b/>
          <w:bCs/>
          <w:rtl/>
        </w:rPr>
        <w:t xml:space="preserve"> המנוחה </w:t>
      </w:r>
      <w:r>
        <w:rPr>
          <w:rFonts w:ascii="David" w:hAnsi="David"/>
          <w:b/>
          <w:bCs/>
          <w:u w:val="single"/>
          <w:rtl/>
        </w:rPr>
        <w:t>ולמתנגד 1</w:t>
      </w:r>
      <w:r>
        <w:rPr>
          <w:rFonts w:ascii="David" w:hAnsi="David"/>
          <w:b/>
          <w:bCs/>
          <w:rtl/>
        </w:rPr>
        <w:t xml:space="preserve"> ו/או מכוח </w:t>
      </w:r>
      <w:r>
        <w:rPr>
          <w:rFonts w:ascii="David" w:hAnsi="David"/>
          <w:b/>
          <w:bCs/>
          <w:u w:val="single"/>
          <w:rtl/>
        </w:rPr>
        <w:t>הסכם פנים משפחתי</w:t>
      </w:r>
      <w:r>
        <w:rPr>
          <w:rFonts w:ascii="David" w:hAnsi="David"/>
          <w:b/>
          <w:bCs/>
          <w:rtl/>
        </w:rPr>
        <w:t xml:space="preserve"> (שגם </w:t>
      </w:r>
      <w:r>
        <w:rPr>
          <w:rFonts w:ascii="David" w:hAnsi="David"/>
          <w:b/>
          <w:bCs/>
          <w:u w:val="single"/>
          <w:rtl/>
        </w:rPr>
        <w:t>המתנגד 1</w:t>
      </w:r>
      <w:r>
        <w:rPr>
          <w:rFonts w:ascii="David" w:hAnsi="David"/>
          <w:b/>
          <w:bCs/>
          <w:rtl/>
        </w:rPr>
        <w:t xml:space="preserve"> היה צד לו) ו/או מכוח </w:t>
      </w:r>
      <w:r>
        <w:rPr>
          <w:rFonts w:ascii="David" w:hAnsi="David"/>
          <w:b/>
          <w:bCs/>
          <w:u w:val="single"/>
          <w:rtl/>
        </w:rPr>
        <w:t>הוראות הצוואות ההדדיות</w:t>
      </w:r>
      <w:r>
        <w:rPr>
          <w:rFonts w:ascii="David" w:hAnsi="David"/>
          <w:b/>
          <w:bCs/>
          <w:rtl/>
        </w:rPr>
        <w:t xml:space="preserve"> של נ</w:t>
      </w:r>
      <w:r>
        <w:rPr>
          <w:rFonts w:ascii="David" w:hAnsi="David" w:hint="cs"/>
          <w:b/>
          <w:bCs/>
          <w:rtl/>
        </w:rPr>
        <w:t>.</w:t>
      </w:r>
      <w:r>
        <w:rPr>
          <w:rFonts w:ascii="David" w:hAnsi="David"/>
          <w:b/>
          <w:bCs/>
          <w:rtl/>
        </w:rPr>
        <w:t xml:space="preserve"> המנוחה ושל י</w:t>
      </w:r>
      <w:r>
        <w:rPr>
          <w:rFonts w:ascii="David" w:hAnsi="David" w:hint="cs"/>
          <w:b/>
          <w:bCs/>
          <w:rtl/>
        </w:rPr>
        <w:t>.</w:t>
      </w:r>
      <w:r>
        <w:rPr>
          <w:rFonts w:ascii="David" w:hAnsi="David"/>
          <w:b/>
          <w:bCs/>
          <w:rtl/>
        </w:rPr>
        <w:t xml:space="preserve"> המנוח</w:t>
      </w:r>
      <w:r>
        <w:rPr>
          <w:rFonts w:ascii="David" w:hAnsi="David"/>
          <w:rtl/>
        </w:rPr>
        <w:t xml:space="preserve"> </w:t>
      </w:r>
      <w:r>
        <w:rPr>
          <w:rFonts w:ascii="David" w:hAnsi="David"/>
          <w:b/>
          <w:bCs/>
          <w:rtl/>
        </w:rPr>
        <w:t xml:space="preserve">ו/או מכוח הסתמכות על הוראות  הצוואות ההדדיות וההסכם הפנים משפחתי (שגם </w:t>
      </w:r>
      <w:r>
        <w:rPr>
          <w:rFonts w:ascii="David" w:hAnsi="David"/>
          <w:b/>
          <w:bCs/>
          <w:u w:val="single"/>
          <w:rtl/>
        </w:rPr>
        <w:t>המתנגד 1</w:t>
      </w:r>
      <w:r>
        <w:rPr>
          <w:rFonts w:ascii="David" w:hAnsi="David"/>
          <w:b/>
          <w:bCs/>
          <w:rtl/>
        </w:rPr>
        <w:t xml:space="preserve"> הסתמך עליו</w:t>
      </w:r>
      <w:r>
        <w:rPr>
          <w:rFonts w:ascii="David" w:hAnsi="David"/>
          <w:rtl/>
        </w:rPr>
        <w:t xml:space="preserve">). (סעיף 2 לתגובה) (הדגש בקו תחתי במקור). טיעון זה הורחב בסעיפים 6-3 לתגובה. </w:t>
      </w:r>
    </w:p>
    <w:p w:rsidR="00387C20" w:rsidRDefault="00387C20" w:rsidP="00387C20">
      <w:pPr>
        <w:spacing w:line="360" w:lineRule="auto"/>
        <w:ind w:left="720" w:hanging="720"/>
        <w:jc w:val="both"/>
        <w:rPr>
          <w:rFonts w:ascii="David" w:hAnsi="David"/>
          <w:sz w:val="22"/>
          <w:szCs w:val="22"/>
          <w:rtl/>
        </w:rPr>
      </w:pPr>
    </w:p>
    <w:p w:rsidR="00387C20" w:rsidRDefault="00387C20" w:rsidP="00387C20">
      <w:pPr>
        <w:spacing w:line="360" w:lineRule="auto"/>
        <w:ind w:left="720" w:hanging="720"/>
        <w:jc w:val="both"/>
        <w:rPr>
          <w:rFonts w:ascii="David" w:hAnsi="David"/>
          <w:rtl/>
        </w:rPr>
      </w:pPr>
      <w:r>
        <w:rPr>
          <w:rFonts w:ascii="David" w:hAnsi="David"/>
          <w:rtl/>
        </w:rPr>
        <w:tab/>
        <w:t>משכך טען שיש לו אינטרס מידי וממוני בביטול הצוואה שכן צוואה זו מבטלת התחייבויות קודמות שמכוחן הוא זכאי לזכויות במשק.  על כן יש לדחות את הבקשה.</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ab/>
        <w:t xml:space="preserve">המתנגד  הפנה לסעיפים 5.1 (ב-ג) לצוואה שנוסחם הובא לעיל ומהם נצמח לו האינטרס הנדרש.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ab/>
        <w:t>המתנגד הדגיש עוד שעל פי הצוואה המוקדמת הייתה זכאית ד</w:t>
      </w:r>
      <w:r>
        <w:rPr>
          <w:rFonts w:ascii="David" w:hAnsi="David" w:hint="cs"/>
          <w:rtl/>
        </w:rPr>
        <w:t>.</w:t>
      </w:r>
      <w:r>
        <w:rPr>
          <w:rFonts w:ascii="David" w:hAnsi="David"/>
          <w:rtl/>
        </w:rPr>
        <w:t xml:space="preserve"> למלוא הזכויות במשק ובעקבותיה היה זכאי הוא לכך מכוח הסכם המשבצת. בצוואה זו, מושא ההתנגדות, קופחו זכויותיו אל מול הזכויות שהוענקו לו בצוואה הקודמת. משכך, הוא עשוי ליהנות מעיזבונה של המנוחה ככל שתתקבל ההתנגדות לצוואה וברי כי יש לו אינטרס ממוני עכשווי בעיזבון המנוחה.  </w:t>
      </w:r>
    </w:p>
    <w:p w:rsidR="00244ECA" w:rsidRDefault="00244ECA" w:rsidP="00387C20">
      <w:pPr>
        <w:spacing w:line="360" w:lineRule="auto"/>
        <w:ind w:left="720" w:hanging="720"/>
        <w:jc w:val="both"/>
        <w:rPr>
          <w:rFonts w:ascii="David" w:hAnsi="David"/>
          <w:rtl/>
        </w:rPr>
      </w:pPr>
    </w:p>
    <w:p w:rsidR="00387C20" w:rsidRDefault="00387C20" w:rsidP="00244ECA">
      <w:pPr>
        <w:spacing w:line="360" w:lineRule="auto"/>
        <w:ind w:left="720"/>
        <w:jc w:val="both"/>
        <w:rPr>
          <w:rFonts w:ascii="David" w:hAnsi="David"/>
          <w:rtl/>
        </w:rPr>
      </w:pPr>
      <w:r>
        <w:rPr>
          <w:rFonts w:ascii="David" w:hAnsi="David"/>
          <w:rtl/>
        </w:rPr>
        <w:t>עוד טען המתנגד שבנוסף לו הוגשה ההתנגדות על ידי 3 בנותיו המשותפות עם ד</w:t>
      </w:r>
      <w:r w:rsidR="00244ECA">
        <w:rPr>
          <w:rFonts w:ascii="David" w:hAnsi="David" w:hint="cs"/>
          <w:rtl/>
        </w:rPr>
        <w:t>.</w:t>
      </w:r>
      <w:r>
        <w:rPr>
          <w:rFonts w:ascii="David" w:hAnsi="David"/>
          <w:rtl/>
        </w:rPr>
        <w:t xml:space="preserve">. מחיקתו שלו לא תאיין את ההתנגדות ועל כן הביע תמיהה על הבקשה זולת היותה קנטרנית, טורדנית וחסרת אפקטיביות המעידה על מגישתה. </w:t>
      </w:r>
    </w:p>
    <w:p w:rsidR="00387C20" w:rsidRDefault="00387C20" w:rsidP="00387C20">
      <w:pPr>
        <w:spacing w:line="360" w:lineRule="auto"/>
        <w:ind w:left="720"/>
        <w:jc w:val="both"/>
        <w:rPr>
          <w:rFonts w:ascii="David" w:hAnsi="David"/>
          <w:rtl/>
        </w:rPr>
      </w:pPr>
    </w:p>
    <w:p w:rsidR="00387C20" w:rsidRDefault="00387C20" w:rsidP="00387C20">
      <w:pPr>
        <w:spacing w:line="360" w:lineRule="auto"/>
        <w:ind w:left="720" w:hanging="720"/>
        <w:jc w:val="both"/>
        <w:rPr>
          <w:rFonts w:ascii="David" w:hAnsi="David"/>
          <w:b/>
          <w:bCs/>
          <w:rtl/>
        </w:rPr>
      </w:pPr>
      <w:r>
        <w:rPr>
          <w:rFonts w:ascii="David" w:hAnsi="David"/>
          <w:b/>
          <w:bCs/>
          <w:u w:val="single"/>
          <w:rtl/>
        </w:rPr>
        <w:t>דיון והחלטה</w:t>
      </w:r>
      <w:r>
        <w:rPr>
          <w:rFonts w:ascii="David" w:hAnsi="David"/>
          <w:b/>
          <w:bCs/>
          <w:rtl/>
        </w:rPr>
        <w:t>:</w:t>
      </w:r>
    </w:p>
    <w:p w:rsidR="00387C20" w:rsidRDefault="00387C20" w:rsidP="00387C20">
      <w:pPr>
        <w:spacing w:line="360" w:lineRule="auto"/>
        <w:ind w:left="720" w:hanging="720"/>
        <w:jc w:val="both"/>
        <w:rPr>
          <w:rFonts w:ascii="David" w:hAnsi="David"/>
          <w:b/>
          <w:bCs/>
          <w:rtl/>
        </w:rPr>
      </w:pPr>
    </w:p>
    <w:p w:rsidR="00387C20" w:rsidRDefault="00387C20" w:rsidP="00387C20">
      <w:pPr>
        <w:spacing w:line="360" w:lineRule="auto"/>
        <w:ind w:left="720" w:hanging="720"/>
        <w:jc w:val="both"/>
        <w:rPr>
          <w:rFonts w:ascii="David" w:hAnsi="David"/>
          <w:rtl/>
        </w:rPr>
      </w:pPr>
      <w:r>
        <w:rPr>
          <w:rFonts w:ascii="David" w:hAnsi="David"/>
          <w:rtl/>
        </w:rPr>
        <w:t>9.</w:t>
      </w:r>
      <w:r>
        <w:rPr>
          <w:rFonts w:ascii="David" w:hAnsi="David"/>
          <w:rtl/>
        </w:rPr>
        <w:tab/>
        <w:t>השאלה שבבסיס החלטה זו היא האם המתנגד יכול להיחשב "</w:t>
      </w:r>
      <w:r>
        <w:rPr>
          <w:rFonts w:ascii="Miriam" w:hAnsi="Miriam" w:cs="Miriam"/>
          <w:b/>
          <w:bCs/>
          <w:rtl/>
        </w:rPr>
        <w:t xml:space="preserve">מעוניין </w:t>
      </w:r>
      <w:r>
        <w:rPr>
          <w:rFonts w:ascii="David" w:hAnsi="David"/>
          <w:b/>
          <w:bCs/>
          <w:rtl/>
        </w:rPr>
        <w:t>בדבר</w:t>
      </w:r>
      <w:r>
        <w:rPr>
          <w:rFonts w:ascii="David" w:hAnsi="David"/>
          <w:rtl/>
        </w:rPr>
        <w:t>" על פי חוק הירושה תשכ"ה-1965 (להלן-</w:t>
      </w:r>
      <w:r>
        <w:rPr>
          <w:rFonts w:ascii="Miriam" w:hAnsi="Miriam" w:cs="Miriam"/>
          <w:b/>
          <w:bCs/>
          <w:rtl/>
        </w:rPr>
        <w:t>החוק</w:t>
      </w:r>
      <w:r>
        <w:rPr>
          <w:rFonts w:ascii="David" w:hAnsi="David"/>
          <w:rtl/>
        </w:rPr>
        <w:t>) והפסיקה, קרי האם יש לו "...</w:t>
      </w:r>
      <w:r>
        <w:rPr>
          <w:rFonts w:ascii="David" w:hAnsi="David"/>
          <w:b/>
          <w:bCs/>
          <w:rtl/>
        </w:rPr>
        <w:t>אינטרס ממוני אובייקטיבי עכשווי בעיזבון, להבדיל מאינטרס עתידי</w:t>
      </w:r>
      <w:r>
        <w:rPr>
          <w:rFonts w:ascii="David" w:hAnsi="David"/>
          <w:rtl/>
        </w:rPr>
        <w:t xml:space="preserve">..." (ש. שוחט, נ. פיינברג ו-י. פלומין </w:t>
      </w:r>
      <w:r>
        <w:rPr>
          <w:rFonts w:ascii="David" w:hAnsi="David"/>
          <w:u w:val="single"/>
          <w:rtl/>
        </w:rPr>
        <w:t>דיני ירושה ועיזבון</w:t>
      </w:r>
      <w:r>
        <w:rPr>
          <w:rFonts w:ascii="David" w:hAnsi="David"/>
          <w:rtl/>
        </w:rPr>
        <w:t xml:space="preserve"> (מהדורה 7) עמ' 189) אליו הפנה גם ב"כ המבקשת בטיעוניו.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jc w:val="both"/>
        <w:rPr>
          <w:rFonts w:ascii="David" w:hAnsi="David"/>
          <w:rtl/>
        </w:rPr>
      </w:pPr>
      <w:r>
        <w:rPr>
          <w:rFonts w:ascii="David" w:hAnsi="David"/>
          <w:rtl/>
        </w:rPr>
        <w:t>המחברים מציינים זהותם של מי שיכולים להיחשב כ"</w:t>
      </w:r>
      <w:r>
        <w:rPr>
          <w:rFonts w:ascii="David" w:hAnsi="David"/>
          <w:b/>
          <w:bCs/>
          <w:rtl/>
        </w:rPr>
        <w:t>מעוניין בדבר</w:t>
      </w:r>
      <w:r>
        <w:rPr>
          <w:rFonts w:ascii="David" w:hAnsi="David"/>
          <w:rtl/>
        </w:rPr>
        <w:t xml:space="preserve">" ומונים, בין היתר, נושה של יורש, מנהל עיזבון, המדינה ועוד. </w:t>
      </w:r>
    </w:p>
    <w:p w:rsidR="00387C20" w:rsidRDefault="00387C20" w:rsidP="00387C20">
      <w:pPr>
        <w:spacing w:line="360" w:lineRule="auto"/>
        <w:ind w:left="720"/>
        <w:jc w:val="both"/>
        <w:rPr>
          <w:rFonts w:ascii="David" w:hAnsi="David"/>
          <w:rtl/>
        </w:rPr>
      </w:pPr>
    </w:p>
    <w:p w:rsidR="00387C20" w:rsidRDefault="00387C20" w:rsidP="00387C20">
      <w:pPr>
        <w:spacing w:line="360" w:lineRule="auto"/>
        <w:ind w:left="720"/>
        <w:jc w:val="both"/>
        <w:rPr>
          <w:rFonts w:ascii="David" w:hAnsi="David"/>
          <w:rtl/>
        </w:rPr>
      </w:pPr>
      <w:r>
        <w:rPr>
          <w:rFonts w:ascii="David" w:hAnsi="David"/>
          <w:rtl/>
        </w:rPr>
        <w:t>בין הגורמים המוזכרים כבעלי אינטרס עתידי, שאינם יכולים להיחשב כ-"</w:t>
      </w:r>
      <w:r>
        <w:rPr>
          <w:rFonts w:ascii="David" w:hAnsi="David"/>
          <w:b/>
          <w:bCs/>
          <w:rtl/>
        </w:rPr>
        <w:t>בעל עניין</w:t>
      </w:r>
      <w:r>
        <w:rPr>
          <w:rFonts w:ascii="David" w:hAnsi="David"/>
          <w:rtl/>
        </w:rPr>
        <w:t xml:space="preserve">" על פי החוק והפסיקה מונים המחברים, בין היתר, מי שהוא בנו של יורש פוטנציאלי, זוכה פוטנציאלי, יורש על תנאי, יורש אחר יורש, ועוד.  </w:t>
      </w:r>
    </w:p>
    <w:p w:rsidR="00387C20" w:rsidRDefault="00387C20" w:rsidP="00387C20">
      <w:pPr>
        <w:spacing w:line="360" w:lineRule="auto"/>
        <w:ind w:left="720"/>
        <w:jc w:val="both"/>
        <w:rPr>
          <w:rFonts w:ascii="David" w:hAnsi="David"/>
          <w:rtl/>
        </w:rPr>
      </w:pPr>
      <w:r>
        <w:rPr>
          <w:rFonts w:ascii="David" w:hAnsi="David"/>
          <w:rtl/>
        </w:rPr>
        <w:t xml:space="preserve">     </w:t>
      </w:r>
    </w:p>
    <w:p w:rsidR="00387C20" w:rsidRDefault="00387C20" w:rsidP="00387C20">
      <w:pPr>
        <w:spacing w:line="360" w:lineRule="auto"/>
        <w:ind w:left="720" w:hanging="720"/>
        <w:jc w:val="both"/>
        <w:rPr>
          <w:rFonts w:ascii="David" w:hAnsi="David"/>
          <w:rtl/>
        </w:rPr>
      </w:pPr>
      <w:r>
        <w:rPr>
          <w:rFonts w:ascii="David" w:hAnsi="David"/>
          <w:rtl/>
        </w:rPr>
        <w:t>10.</w:t>
      </w:r>
      <w:r>
        <w:rPr>
          <w:rFonts w:ascii="David" w:hAnsi="David"/>
          <w:b/>
          <w:bCs/>
          <w:rtl/>
        </w:rPr>
        <w:tab/>
      </w:r>
      <w:r>
        <w:rPr>
          <w:rFonts w:ascii="David" w:hAnsi="David"/>
          <w:rtl/>
        </w:rPr>
        <w:t xml:space="preserve">בספרו </w:t>
      </w:r>
      <w:r>
        <w:rPr>
          <w:rFonts w:ascii="David" w:hAnsi="David"/>
          <w:u w:val="single"/>
          <w:rtl/>
        </w:rPr>
        <w:t>פירוש לחוק הירושה</w:t>
      </w:r>
      <w:r>
        <w:rPr>
          <w:rFonts w:ascii="David" w:hAnsi="David"/>
          <w:rtl/>
        </w:rPr>
        <w:t xml:space="preserve"> סיכם פרופ' שילה את 3 הגישות בפסיקה לפרשנות הביטוי "</w:t>
      </w:r>
      <w:r>
        <w:rPr>
          <w:rFonts w:ascii="David" w:hAnsi="David"/>
          <w:b/>
          <w:bCs/>
          <w:rtl/>
        </w:rPr>
        <w:t>מעוניין בדבר</w:t>
      </w:r>
      <w:r>
        <w:rPr>
          <w:rFonts w:ascii="David" w:hAnsi="David"/>
          <w:rtl/>
        </w:rPr>
        <w:t xml:space="preserve">" שבחוק: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1440" w:hanging="720"/>
        <w:jc w:val="both"/>
        <w:rPr>
          <w:rFonts w:ascii="David" w:hAnsi="David"/>
          <w:rtl/>
        </w:rPr>
      </w:pPr>
      <w:r>
        <w:rPr>
          <w:rFonts w:ascii="David" w:hAnsi="David"/>
          <w:rtl/>
        </w:rPr>
        <w:t>א.</w:t>
      </w:r>
      <w:r>
        <w:rPr>
          <w:rFonts w:ascii="David" w:hAnsi="David"/>
          <w:rtl/>
        </w:rPr>
        <w:tab/>
        <w:t>הראשונה, גישתו הליברלית של כבוד השופט אלון בפרשת משולם (</w:t>
      </w:r>
      <w:r>
        <w:rPr>
          <w:rFonts w:ascii="David" w:hAnsi="David"/>
          <w:u w:val="single"/>
          <w:rtl/>
        </w:rPr>
        <w:t>בג"ץ 673/89</w:t>
      </w:r>
      <w:r>
        <w:rPr>
          <w:rFonts w:ascii="David" w:hAnsi="David"/>
          <w:rtl/>
        </w:rPr>
        <w:t xml:space="preserve"> </w:t>
      </w:r>
      <w:r>
        <w:rPr>
          <w:rFonts w:ascii="David" w:hAnsi="David"/>
          <w:b/>
          <w:bCs/>
          <w:rtl/>
        </w:rPr>
        <w:t>שולמית</w:t>
      </w:r>
      <w:r>
        <w:rPr>
          <w:rFonts w:ascii="David" w:hAnsi="David"/>
          <w:rtl/>
        </w:rPr>
        <w:t xml:space="preserve"> </w:t>
      </w:r>
      <w:r>
        <w:rPr>
          <w:rFonts w:ascii="David" w:hAnsi="David"/>
          <w:b/>
          <w:bCs/>
          <w:rtl/>
        </w:rPr>
        <w:t>משולם</w:t>
      </w:r>
      <w:r>
        <w:rPr>
          <w:rFonts w:ascii="David" w:hAnsi="David"/>
          <w:rtl/>
        </w:rPr>
        <w:t xml:space="preserve"> נ' </w:t>
      </w:r>
      <w:r>
        <w:rPr>
          <w:rFonts w:ascii="David" w:hAnsi="David"/>
          <w:b/>
          <w:bCs/>
          <w:rtl/>
        </w:rPr>
        <w:t>בית הדין הרבני הגדול</w:t>
      </w:r>
      <w:r>
        <w:rPr>
          <w:rFonts w:ascii="David" w:hAnsi="David"/>
          <w:rtl/>
        </w:rPr>
        <w:t xml:space="preserve">  פ"ד מה(5) 594 ( 10.11.1991)) לפיה </w:t>
      </w:r>
      <w:r>
        <w:rPr>
          <w:rFonts w:ascii="David" w:hAnsi="David"/>
          <w:b/>
          <w:bCs/>
          <w:rtl/>
        </w:rPr>
        <w:t>"...כל המרגיש באופן סובייקטיבי, שיש לו עניין בדבר רשאי להתנגד לצוואה</w:t>
      </w:r>
      <w:r>
        <w:rPr>
          <w:rFonts w:ascii="David" w:hAnsi="David"/>
          <w:rtl/>
        </w:rPr>
        <w:t xml:space="preserve">". </w:t>
      </w:r>
    </w:p>
    <w:p w:rsidR="00387C20" w:rsidRDefault="00387C20" w:rsidP="00387C20">
      <w:pPr>
        <w:ind w:left="1440" w:hanging="720"/>
        <w:rPr>
          <w:rtl/>
        </w:rPr>
      </w:pPr>
    </w:p>
    <w:p w:rsidR="00387C20" w:rsidRDefault="00387C20" w:rsidP="00387C20">
      <w:pPr>
        <w:spacing w:line="360" w:lineRule="auto"/>
        <w:ind w:left="1440" w:hanging="720"/>
        <w:jc w:val="both"/>
        <w:rPr>
          <w:rFonts w:ascii="David" w:hAnsi="David"/>
          <w:rtl/>
        </w:rPr>
      </w:pPr>
      <w:r>
        <w:rPr>
          <w:rFonts w:ascii="David" w:hAnsi="David"/>
          <w:rtl/>
        </w:rPr>
        <w:t>ב.</w:t>
      </w:r>
      <w:r>
        <w:rPr>
          <w:rFonts w:ascii="David" w:hAnsi="David"/>
          <w:rtl/>
        </w:rPr>
        <w:tab/>
        <w:t xml:space="preserve">השנייה, גישת כבוד השופט טל בדעת מיעוט  בפרשת עאסי ( </w:t>
      </w:r>
      <w:r>
        <w:rPr>
          <w:rFonts w:ascii="David" w:hAnsi="David"/>
          <w:u w:val="single"/>
          <w:rtl/>
        </w:rPr>
        <w:t>ע"א 3154/94</w:t>
      </w:r>
      <w:r>
        <w:rPr>
          <w:rFonts w:ascii="David" w:hAnsi="David"/>
          <w:rtl/>
        </w:rPr>
        <w:t xml:space="preserve"> </w:t>
      </w:r>
      <w:r>
        <w:rPr>
          <w:rFonts w:ascii="David" w:hAnsi="David"/>
          <w:b/>
          <w:bCs/>
          <w:rtl/>
        </w:rPr>
        <w:t>הילאנה כאמאל עאסי</w:t>
      </w:r>
      <w:r>
        <w:rPr>
          <w:rFonts w:ascii="David" w:hAnsi="David"/>
          <w:rtl/>
        </w:rPr>
        <w:t xml:space="preserve"> נ' </w:t>
      </w:r>
      <w:r>
        <w:rPr>
          <w:rFonts w:ascii="David" w:hAnsi="David"/>
          <w:b/>
          <w:bCs/>
          <w:rtl/>
        </w:rPr>
        <w:t xml:space="preserve">חביב עאסי </w:t>
      </w:r>
      <w:r>
        <w:rPr>
          <w:rFonts w:ascii="David" w:hAnsi="David"/>
          <w:rtl/>
        </w:rPr>
        <w:t>פ"ד מט(2) 250 (9.8.1995)). כבוד השופט טל סבר שמעוניין בדבר יכול להיחשב גם מי שסובר שיש לו הנאה ממשית מהעיזבון וזו יכולה להיות גם עקיפה ולא רק וודאית.</w:t>
      </w:r>
    </w:p>
    <w:p w:rsidR="00387C20" w:rsidRDefault="00387C20" w:rsidP="00387C20">
      <w:pPr>
        <w:spacing w:line="360" w:lineRule="auto"/>
        <w:ind w:left="1440" w:hanging="720"/>
        <w:jc w:val="both"/>
        <w:rPr>
          <w:rFonts w:ascii="David" w:hAnsi="David"/>
          <w:rtl/>
        </w:rPr>
      </w:pPr>
    </w:p>
    <w:p w:rsidR="00387C20" w:rsidRDefault="00387C20" w:rsidP="00387C20">
      <w:pPr>
        <w:spacing w:line="360" w:lineRule="auto"/>
        <w:ind w:left="1440" w:hanging="615"/>
        <w:jc w:val="both"/>
        <w:rPr>
          <w:rFonts w:ascii="David" w:hAnsi="David"/>
          <w:rtl/>
        </w:rPr>
      </w:pPr>
      <w:r>
        <w:rPr>
          <w:rFonts w:ascii="David" w:hAnsi="David"/>
          <w:rtl/>
        </w:rPr>
        <w:t>ג.</w:t>
      </w:r>
      <w:r>
        <w:rPr>
          <w:rFonts w:ascii="David" w:hAnsi="David"/>
          <w:rtl/>
        </w:rPr>
        <w:tab/>
        <w:t>הגישה השלישית, ההלכה הנוהגת, היא זו שהתקבלה על ידי דעת הרוב בעניין עאסי  וגישת בית המשפט בעניין פוקס (</w:t>
      </w:r>
      <w:r>
        <w:rPr>
          <w:rFonts w:ascii="David" w:hAnsi="David"/>
          <w:u w:val="single"/>
          <w:rtl/>
        </w:rPr>
        <w:t xml:space="preserve">ע"א 49/64  </w:t>
      </w:r>
      <w:r>
        <w:rPr>
          <w:rFonts w:ascii="David" w:hAnsi="David"/>
          <w:b/>
          <w:bCs/>
          <w:rtl/>
        </w:rPr>
        <w:t xml:space="preserve">פוקס </w:t>
      </w:r>
      <w:r>
        <w:rPr>
          <w:rFonts w:ascii="David" w:hAnsi="David"/>
          <w:rtl/>
        </w:rPr>
        <w:t xml:space="preserve">נ' </w:t>
      </w:r>
      <w:r>
        <w:rPr>
          <w:rFonts w:ascii="David" w:hAnsi="David"/>
          <w:b/>
          <w:bCs/>
          <w:rtl/>
        </w:rPr>
        <w:t>קוסובסקי</w:t>
      </w:r>
      <w:r>
        <w:rPr>
          <w:rFonts w:ascii="David" w:hAnsi="David"/>
          <w:rtl/>
        </w:rPr>
        <w:t xml:space="preserve">  פ"ד יח(2) 438 (31.5.1964)). על פי גישה זו צריך שיהיה למתנגד אינטרס ממוני אובייקטיבי של ממש בהווה ולא בעתיד.</w:t>
      </w:r>
    </w:p>
    <w:p w:rsidR="00387C20" w:rsidRDefault="00387C20" w:rsidP="00387C20">
      <w:pPr>
        <w:spacing w:line="360" w:lineRule="auto"/>
        <w:ind w:left="1440" w:hanging="615"/>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11.</w:t>
      </w:r>
      <w:r>
        <w:rPr>
          <w:rFonts w:ascii="David" w:hAnsi="David"/>
          <w:rtl/>
        </w:rPr>
        <w:tab/>
        <w:t>בסכמו את הגישות השונות קבע פרופ' שילה: "</w:t>
      </w:r>
      <w:r>
        <w:rPr>
          <w:rFonts w:ascii="David" w:hAnsi="David"/>
          <w:b/>
          <w:bCs/>
          <w:rtl/>
        </w:rPr>
        <w:t>מוכן אני, ככלל, לקבל גישה זו,</w:t>
      </w:r>
      <w:r>
        <w:rPr>
          <w:rFonts w:ascii="David" w:hAnsi="David"/>
          <w:rtl/>
        </w:rPr>
        <w:t xml:space="preserve"> (הגישה השלישית – מ.ל) </w:t>
      </w:r>
      <w:r>
        <w:rPr>
          <w:rFonts w:ascii="David" w:hAnsi="David"/>
          <w:b/>
          <w:bCs/>
          <w:rtl/>
        </w:rPr>
        <w:t>הנראית בעיני נכונה והגיונית. עם זאת כיוון שהסעיף מנוסח בלשון גורפת  - "כל המעוניין בדבר" – ומכיוון שייתכנו סיטואציות שבהן למרות היעדר זיקה ממונית זיקת המתנגד היא חזקה עבורו גם בעיני בית המשפט, לא הייתי סוגר את הפתח לנגישות לבית המשפט בצורה הרמטית ונוקשה</w:t>
      </w:r>
      <w:r>
        <w:rPr>
          <w:rFonts w:ascii="David" w:hAnsi="David"/>
          <w:rtl/>
        </w:rPr>
        <w:t xml:space="preserve">" (שמואל שילה, </w:t>
      </w:r>
      <w:r>
        <w:rPr>
          <w:rFonts w:ascii="David" w:hAnsi="David"/>
          <w:u w:val="single"/>
          <w:rtl/>
        </w:rPr>
        <w:t xml:space="preserve">פרשנות לחוק הירושה תשכ"ה-1965 </w:t>
      </w:r>
      <w:r>
        <w:rPr>
          <w:rFonts w:ascii="David" w:hAnsi="David"/>
          <w:rtl/>
        </w:rPr>
        <w:t xml:space="preserve">(עמ' 41) וה"ש 22).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12.</w:t>
      </w:r>
      <w:r>
        <w:rPr>
          <w:rFonts w:ascii="David" w:hAnsi="David"/>
          <w:rtl/>
        </w:rPr>
        <w:tab/>
        <w:t xml:space="preserve">על פי החומר שלפני וההליכים המתנהלים בין הצדדים באתי לכדי מסקנה שלמתנגד אכן אותו אינטרס מידי הנדרש על פי הפסיקה ודין הבקשה למחקו להידחות.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13.</w:t>
      </w:r>
      <w:r>
        <w:rPr>
          <w:rFonts w:ascii="David" w:hAnsi="David"/>
          <w:rtl/>
        </w:rPr>
        <w:tab/>
        <w:t>הנקודה הארכימדית  היא קיומו של אינטרס ממשי ועכשווי של המתנגד. קיומו של אינטרס זה עולה מהחומר בתיק:</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1440" w:hanging="720"/>
        <w:jc w:val="both"/>
        <w:rPr>
          <w:rFonts w:ascii="David" w:hAnsi="David"/>
          <w:rtl/>
        </w:rPr>
      </w:pPr>
      <w:r>
        <w:rPr>
          <w:rFonts w:ascii="David" w:hAnsi="David"/>
          <w:rtl/>
        </w:rPr>
        <w:t>א.</w:t>
      </w:r>
      <w:r>
        <w:rPr>
          <w:rFonts w:ascii="David" w:hAnsi="David"/>
          <w:rtl/>
        </w:rPr>
        <w:tab/>
        <w:t xml:space="preserve">המתנגד הגיש תביעה נפרדת ועצמאית  </w:t>
      </w:r>
      <w:r>
        <w:rPr>
          <w:rFonts w:ascii="David" w:hAnsi="David"/>
          <w:u w:val="single"/>
          <w:rtl/>
        </w:rPr>
        <w:t xml:space="preserve">תמ"ש 61631-07-22 </w:t>
      </w:r>
      <w:r>
        <w:rPr>
          <w:rFonts w:ascii="David" w:hAnsi="David"/>
          <w:rtl/>
        </w:rPr>
        <w:t>בה עתר לפסק דין הצהרתי שיקבע שהוא זכאי למלוא הזכויות במשק, ולחלופין שהמשק יפוצל ותישאר לו הזכות לקבל את הבית שבנה עם ד</w:t>
      </w:r>
      <w:r>
        <w:rPr>
          <w:rFonts w:ascii="David" w:hAnsi="David" w:hint="cs"/>
          <w:rtl/>
        </w:rPr>
        <w:t>.</w:t>
      </w:r>
      <w:r>
        <w:rPr>
          <w:rFonts w:ascii="David" w:hAnsi="David"/>
          <w:rtl/>
        </w:rPr>
        <w:t xml:space="preserve"> והובטח לו בצוואה עם שטח אדמה מתוך המשק, או קבלת פיצוי כספי  בעבור אלו. לטעמי, די בכך כדי להקים לו אינטרס ממוני אובייקטיבי וממשי לביטול הצוואה המעניקה את המשק  למבקשת.</w:t>
      </w:r>
    </w:p>
    <w:p w:rsidR="00387C20" w:rsidRDefault="00387C20" w:rsidP="00387C20">
      <w:pPr>
        <w:ind w:left="1440" w:hanging="720"/>
        <w:rPr>
          <w:rtl/>
        </w:rPr>
      </w:pPr>
    </w:p>
    <w:p w:rsidR="00387C20" w:rsidRDefault="00387C20" w:rsidP="00387C20">
      <w:pPr>
        <w:spacing w:line="360" w:lineRule="auto"/>
        <w:ind w:left="1440" w:hanging="720"/>
        <w:jc w:val="both"/>
        <w:rPr>
          <w:rFonts w:ascii="David" w:hAnsi="David"/>
          <w:rtl/>
        </w:rPr>
      </w:pPr>
      <w:r>
        <w:rPr>
          <w:rFonts w:ascii="David" w:hAnsi="David"/>
          <w:rtl/>
        </w:rPr>
        <w:t>ב.</w:t>
      </w:r>
      <w:r>
        <w:rPr>
          <w:rFonts w:ascii="David" w:hAnsi="David"/>
          <w:rtl/>
        </w:rPr>
        <w:tab/>
        <w:t>להתנגדות צורף אישור של המושב בו מצוי המשק (נספח 1 להתנגדות ) בו הוכרזו המתנגד ורעייתו המנוחה ד</w:t>
      </w:r>
      <w:r>
        <w:rPr>
          <w:rFonts w:ascii="David" w:hAnsi="David" w:hint="cs"/>
          <w:rtl/>
        </w:rPr>
        <w:t>.</w:t>
      </w:r>
      <w:r>
        <w:rPr>
          <w:rFonts w:ascii="David" w:hAnsi="David"/>
          <w:rtl/>
        </w:rPr>
        <w:t xml:space="preserve"> כ"בנים ממשיכים" במשק. ברי שמסמך זה מקים למתנגד אינטרס לבטל את הצוואה. אין רבותא שמסמך זה יטה את הכף לקבלת ההתנגדות, אך הוא מקים למתנגד את האינטרס הנדרש להיות מתנגד. </w:t>
      </w:r>
    </w:p>
    <w:p w:rsidR="00387C20" w:rsidRDefault="00387C20" w:rsidP="00387C20">
      <w:pPr>
        <w:spacing w:line="360" w:lineRule="auto"/>
        <w:ind w:left="1440" w:hanging="720"/>
        <w:jc w:val="both"/>
        <w:rPr>
          <w:rFonts w:ascii="David" w:hAnsi="David"/>
          <w:rtl/>
        </w:rPr>
      </w:pPr>
    </w:p>
    <w:p w:rsidR="00387C20" w:rsidRDefault="00387C20" w:rsidP="00387C20">
      <w:pPr>
        <w:spacing w:line="360" w:lineRule="auto"/>
        <w:ind w:left="1440" w:hanging="720"/>
        <w:jc w:val="both"/>
        <w:rPr>
          <w:rFonts w:ascii="David" w:hAnsi="David"/>
          <w:rtl/>
        </w:rPr>
      </w:pPr>
      <w:r>
        <w:rPr>
          <w:rFonts w:ascii="David" w:hAnsi="David"/>
          <w:rtl/>
        </w:rPr>
        <w:t>ג.</w:t>
      </w:r>
      <w:r>
        <w:rPr>
          <w:rFonts w:ascii="David" w:hAnsi="David"/>
          <w:rtl/>
        </w:rPr>
        <w:tab/>
        <w:t>האינטרס הנדרש עולה גם ממכתבם של נ</w:t>
      </w:r>
      <w:r>
        <w:rPr>
          <w:rFonts w:ascii="David" w:hAnsi="David" w:hint="cs"/>
          <w:rtl/>
        </w:rPr>
        <w:t>.</w:t>
      </w:r>
      <w:r>
        <w:rPr>
          <w:rFonts w:ascii="David" w:hAnsi="David"/>
          <w:rtl/>
        </w:rPr>
        <w:t xml:space="preserve"> וי</w:t>
      </w:r>
      <w:r>
        <w:rPr>
          <w:rFonts w:ascii="David" w:hAnsi="David" w:hint="cs"/>
          <w:rtl/>
        </w:rPr>
        <w:t>.</w:t>
      </w:r>
      <w:r>
        <w:rPr>
          <w:rFonts w:ascii="David" w:hAnsi="David"/>
          <w:rtl/>
        </w:rPr>
        <w:t xml:space="preserve"> מיום 10.10.1999 (נספח 2 להתנגדות) בתמיכה לקבלת משכנתא של </w:t>
      </w:r>
      <w:r w:rsidR="00244ECA">
        <w:rPr>
          <w:rFonts w:ascii="David" w:hAnsi="David"/>
          <w:rtl/>
        </w:rPr>
        <w:t>ד</w:t>
      </w:r>
      <w:r w:rsidR="00244ECA">
        <w:rPr>
          <w:rFonts w:ascii="David" w:hAnsi="David" w:hint="cs"/>
          <w:rtl/>
        </w:rPr>
        <w:t>.</w:t>
      </w:r>
      <w:r>
        <w:rPr>
          <w:rFonts w:ascii="David" w:hAnsi="David"/>
          <w:rtl/>
        </w:rPr>
        <w:t xml:space="preserve"> והמתנגד ובה הדגישו שד</w:t>
      </w:r>
      <w:r>
        <w:rPr>
          <w:rFonts w:ascii="David" w:hAnsi="David" w:hint="cs"/>
          <w:rtl/>
        </w:rPr>
        <w:t>.</w:t>
      </w:r>
      <w:r>
        <w:rPr>
          <w:rFonts w:ascii="David" w:hAnsi="David"/>
          <w:rtl/>
        </w:rPr>
        <w:t xml:space="preserve"> והמתנגד הם בן ממשיך במשק והסכימו "...</w:t>
      </w:r>
      <w:r>
        <w:rPr>
          <w:rFonts w:ascii="David" w:hAnsi="David"/>
          <w:b/>
          <w:bCs/>
          <w:rtl/>
        </w:rPr>
        <w:t>לרישום הנכס על חשבון המשכנתא</w:t>
      </w:r>
      <w:r>
        <w:rPr>
          <w:rFonts w:ascii="David" w:hAnsi="David"/>
          <w:rtl/>
        </w:rPr>
        <w:t>".</w:t>
      </w:r>
    </w:p>
    <w:p w:rsidR="00387C20" w:rsidRDefault="00387C20" w:rsidP="00387C20">
      <w:pPr>
        <w:spacing w:line="360" w:lineRule="auto"/>
        <w:ind w:left="1440" w:hanging="720"/>
        <w:jc w:val="both"/>
        <w:rPr>
          <w:rFonts w:ascii="David" w:hAnsi="David"/>
          <w:rtl/>
        </w:rPr>
      </w:pPr>
    </w:p>
    <w:p w:rsidR="00387C20" w:rsidRDefault="00387C20" w:rsidP="00387C20">
      <w:pPr>
        <w:spacing w:line="360" w:lineRule="auto"/>
        <w:ind w:left="1440" w:hanging="720"/>
        <w:jc w:val="both"/>
        <w:rPr>
          <w:rFonts w:ascii="David" w:hAnsi="David"/>
          <w:rtl/>
        </w:rPr>
      </w:pPr>
      <w:r>
        <w:rPr>
          <w:rFonts w:ascii="David" w:hAnsi="David"/>
          <w:rtl/>
        </w:rPr>
        <w:t>ד.</w:t>
      </w:r>
      <w:r>
        <w:rPr>
          <w:rFonts w:ascii="David" w:hAnsi="David"/>
          <w:rtl/>
        </w:rPr>
        <w:tab/>
        <w:t>המבקשת טענה ששמו של המתנגד לא מופיע  בצוואה המוקדמת של המנוחה (זו משנת 2003) כך שגם אם תבוטל הצוואה (מושא ההתנגדות) לא קם למתנגד אינטרס ממשי ואובייקטיבי. המתנגד הוא היורש של ד</w:t>
      </w:r>
      <w:r>
        <w:rPr>
          <w:rFonts w:ascii="David" w:hAnsi="David" w:hint="cs"/>
          <w:rtl/>
        </w:rPr>
        <w:t>.</w:t>
      </w:r>
      <w:r>
        <w:rPr>
          <w:rFonts w:ascii="David" w:hAnsi="David"/>
          <w:rtl/>
        </w:rPr>
        <w:t xml:space="preserve"> (פרוטוקול מיום 15.1.2023 ב-</w:t>
      </w:r>
      <w:r>
        <w:rPr>
          <w:rFonts w:ascii="David" w:hAnsi="David"/>
          <w:u w:val="single"/>
          <w:rtl/>
        </w:rPr>
        <w:t>תמ"ש 61631-07-22</w:t>
      </w:r>
      <w:r>
        <w:rPr>
          <w:rFonts w:ascii="David" w:hAnsi="David"/>
          <w:rtl/>
        </w:rPr>
        <w:t>) בצוואה המוקדמת ד</w:t>
      </w:r>
      <w:r>
        <w:rPr>
          <w:rFonts w:ascii="David" w:hAnsi="David" w:hint="cs"/>
          <w:rtl/>
        </w:rPr>
        <w:t>.</w:t>
      </w:r>
      <w:r>
        <w:rPr>
          <w:rFonts w:ascii="David" w:hAnsi="David"/>
          <w:rtl/>
        </w:rPr>
        <w:t xml:space="preserve"> היא היורשת של המשק ועל כן לאחר הסתלקות הבנות יורשותיה של </w:t>
      </w:r>
      <w:r w:rsidR="00244ECA">
        <w:rPr>
          <w:rFonts w:ascii="David" w:hAnsi="David"/>
          <w:rtl/>
        </w:rPr>
        <w:t>ד</w:t>
      </w:r>
      <w:r w:rsidR="00CB0BA9">
        <w:rPr>
          <w:rFonts w:ascii="David" w:hAnsi="David" w:hint="cs"/>
          <w:rtl/>
        </w:rPr>
        <w:t>.</w:t>
      </w:r>
      <w:r>
        <w:rPr>
          <w:rFonts w:ascii="David" w:hAnsi="David"/>
          <w:rtl/>
        </w:rPr>
        <w:t xml:space="preserve"> הוא יורש. בשלב זה טרם הוכרעה השאלה מה מעמדו של המתנגד במאבק על הזכויות במשק ולא ניתן לשלול את זכותו להתנגד לצוואה. מעמדו אפשרי תוך כדי הדיון בהתנגדות שהמתנגד צד לה ולא לפסלו מראש ולמנוע ממנו לממש את האינטרס הקיים לו במשק לאור האמור.</w:t>
      </w:r>
    </w:p>
    <w:p w:rsidR="00387C20" w:rsidRDefault="00387C20" w:rsidP="00387C20">
      <w:pPr>
        <w:spacing w:line="360" w:lineRule="auto"/>
        <w:ind w:left="1440" w:hanging="720"/>
        <w:jc w:val="both"/>
        <w:rPr>
          <w:rFonts w:ascii="David" w:hAnsi="David"/>
          <w:rtl/>
        </w:rPr>
      </w:pPr>
    </w:p>
    <w:p w:rsidR="00387C20" w:rsidRDefault="00387C20" w:rsidP="00387C20">
      <w:pPr>
        <w:spacing w:line="360" w:lineRule="auto"/>
        <w:ind w:left="1440" w:hanging="720"/>
        <w:jc w:val="both"/>
        <w:rPr>
          <w:rFonts w:ascii="David" w:hAnsi="David"/>
          <w:rtl/>
        </w:rPr>
      </w:pPr>
      <w:r>
        <w:rPr>
          <w:rFonts w:ascii="David" w:hAnsi="David"/>
          <w:rtl/>
        </w:rPr>
        <w:t>ה.</w:t>
      </w:r>
      <w:r>
        <w:rPr>
          <w:rFonts w:ascii="David" w:hAnsi="David"/>
          <w:rtl/>
        </w:rPr>
        <w:tab/>
        <w:t>המתנגד טען שהצוואות ההדדיות משנת 2003 הן רק חלק מהסכם משפחתי המשתרע מעבר לצוואות עצמן. המתנגד רואה עצמו כחלק מאותו הסכם (כך, למשל, ההנחיה של האם המנוחה ביחס לבית אותו בנו הוא ורעייתו במשק). טענה זו מהותית ויש לאפשר למתנגד להוכיח טענתו ועל כן גם מטעם זה יש לאפשר לו להתנגד לצוואה.</w:t>
      </w:r>
    </w:p>
    <w:p w:rsidR="00387C20" w:rsidRDefault="00387C20" w:rsidP="00387C20">
      <w:pPr>
        <w:spacing w:line="360" w:lineRule="auto"/>
        <w:ind w:left="1440" w:hanging="720"/>
        <w:jc w:val="both"/>
        <w:rPr>
          <w:rFonts w:ascii="David" w:hAnsi="David"/>
          <w:rtl/>
        </w:rPr>
      </w:pPr>
    </w:p>
    <w:p w:rsidR="00387C20" w:rsidRDefault="00387C20" w:rsidP="00387C20">
      <w:pPr>
        <w:spacing w:line="360" w:lineRule="auto"/>
        <w:ind w:left="651" w:hanging="567"/>
        <w:jc w:val="both"/>
        <w:rPr>
          <w:rFonts w:ascii="David" w:hAnsi="David"/>
          <w:rtl/>
        </w:rPr>
      </w:pPr>
      <w:r>
        <w:rPr>
          <w:rFonts w:ascii="David" w:hAnsi="David"/>
          <w:rtl/>
        </w:rPr>
        <w:t>14.</w:t>
      </w:r>
      <w:r>
        <w:rPr>
          <w:rFonts w:ascii="David" w:hAnsi="David"/>
          <w:rtl/>
        </w:rPr>
        <w:tab/>
        <w:t xml:space="preserve">אחר הדברים האלו מן הראוי לבחון את הבקשה מהיבט נוסף – זכות הגישה לערכאות.  </w:t>
      </w:r>
    </w:p>
    <w:p w:rsidR="00387C20" w:rsidRDefault="00387C20" w:rsidP="00387C20">
      <w:pPr>
        <w:spacing w:line="360" w:lineRule="auto"/>
        <w:ind w:left="651" w:hanging="567"/>
        <w:jc w:val="both"/>
        <w:rPr>
          <w:rFonts w:ascii="David" w:hAnsi="David"/>
          <w:rtl/>
        </w:rPr>
      </w:pPr>
    </w:p>
    <w:p w:rsidR="00387C20" w:rsidRDefault="00387C20" w:rsidP="00387C20">
      <w:pPr>
        <w:spacing w:line="360" w:lineRule="auto"/>
        <w:ind w:left="651" w:hanging="567"/>
        <w:jc w:val="both"/>
        <w:rPr>
          <w:rFonts w:ascii="David" w:hAnsi="David"/>
          <w:rtl/>
        </w:rPr>
      </w:pPr>
      <w:r>
        <w:rPr>
          <w:rFonts w:ascii="David" w:hAnsi="David"/>
          <w:rtl/>
        </w:rPr>
        <w:tab/>
        <w:t xml:space="preserve">זכות הגישה לערכאות היא מאבני היסוד של שיטתנו המשפטית ועולה כדי זכות חוקתית (יורם רבין, "זכות הגישה לערכאות –מזכות רגילה לזכות חוקתית (בעקבות ע"א 733/95 ארפל אלומיניום בע"מ נ' קליל תעשיות בע"מ) </w:t>
      </w:r>
      <w:r>
        <w:rPr>
          <w:rFonts w:ascii="David" w:hAnsi="David"/>
          <w:u w:val="single"/>
          <w:rtl/>
        </w:rPr>
        <w:t>המשפט</w:t>
      </w:r>
      <w:r>
        <w:rPr>
          <w:rFonts w:ascii="David" w:hAnsi="David"/>
          <w:rtl/>
        </w:rPr>
        <w:t xml:space="preserve"> כרך ה'); ד"ר שלמה לוין, </w:t>
      </w:r>
      <w:r>
        <w:rPr>
          <w:rFonts w:ascii="David" w:hAnsi="David"/>
          <w:u w:val="single"/>
          <w:rtl/>
        </w:rPr>
        <w:t>תורת הפרוצדורה האזרחית – מבוא ועקרונות יסוד</w:t>
      </w:r>
      <w:r>
        <w:rPr>
          <w:rFonts w:ascii="David" w:hAnsi="David"/>
          <w:rtl/>
        </w:rPr>
        <w:t xml:space="preserve"> (מהדורה שניה)) .</w:t>
      </w:r>
    </w:p>
    <w:p w:rsidR="00387C20" w:rsidRDefault="00387C20" w:rsidP="00387C20">
      <w:pPr>
        <w:spacing w:line="360" w:lineRule="auto"/>
        <w:ind w:left="651" w:hanging="567"/>
        <w:jc w:val="both"/>
        <w:rPr>
          <w:rFonts w:ascii="David" w:hAnsi="David"/>
          <w:rtl/>
        </w:rPr>
      </w:pPr>
    </w:p>
    <w:p w:rsidR="00387C20" w:rsidRDefault="00387C20" w:rsidP="00387C20">
      <w:pPr>
        <w:spacing w:line="360" w:lineRule="auto"/>
        <w:ind w:left="651" w:hanging="567"/>
        <w:jc w:val="both"/>
        <w:rPr>
          <w:rFonts w:ascii="David" w:hAnsi="David"/>
          <w:rtl/>
        </w:rPr>
      </w:pPr>
      <w:r>
        <w:rPr>
          <w:rFonts w:ascii="David" w:hAnsi="David"/>
          <w:rtl/>
        </w:rPr>
        <w:tab/>
        <w:t>מהותה של זכות זו מקבלת ביטוי בזהירות הנדרשת טרם מחיקתו של הליך  ""</w:t>
      </w:r>
      <w:r>
        <w:rPr>
          <w:rFonts w:ascii="David" w:hAnsi="David"/>
          <w:b/>
          <w:bCs/>
          <w:rtl/>
        </w:rPr>
        <w:t xml:space="preserve">הלכה פסוקה היא, כי בית המשפט ישתמש בסמכותו למחוק תביעה על הסף... רק במקרים בהם יהיה ברור, כי בשום פנים ואופן אין התובע יכול לקבל, על יסוד הטענות המבססות את תביעתו, את הסעד המבוקש. בית המשפט - בבואו לשקול אפשרות זו - ינהג בזהירות רבה וישתמש בסמכותו רק במקרים קיצוניים ויוצאי דופן" </w:t>
      </w:r>
      <w:r>
        <w:rPr>
          <w:rFonts w:ascii="David" w:hAnsi="David"/>
          <w:rtl/>
        </w:rPr>
        <w:t xml:space="preserve">..." </w:t>
      </w:r>
      <w:r>
        <w:rPr>
          <w:rFonts w:cs="FrankRuehl"/>
          <w:sz w:val="28"/>
          <w:szCs w:val="28"/>
          <w:rtl/>
        </w:rPr>
        <w:t>(</w:t>
      </w:r>
      <w:r>
        <w:rPr>
          <w:rFonts w:ascii="David" w:hAnsi="David"/>
          <w:u w:val="single"/>
          <w:rtl/>
        </w:rPr>
        <w:t xml:space="preserve">ע"א 5634/05 </w:t>
      </w:r>
      <w:r>
        <w:rPr>
          <w:rFonts w:ascii="David" w:hAnsi="David"/>
          <w:rtl/>
        </w:rPr>
        <w:t xml:space="preserve"> </w:t>
      </w:r>
      <w:r>
        <w:rPr>
          <w:rFonts w:ascii="David" w:hAnsi="David"/>
          <w:b/>
          <w:bCs/>
          <w:rtl/>
        </w:rPr>
        <w:t xml:space="preserve">צוקית הכרמל פרויקטים בע"מ </w:t>
      </w:r>
      <w:r>
        <w:rPr>
          <w:rFonts w:ascii="David" w:hAnsi="David"/>
          <w:rtl/>
        </w:rPr>
        <w:t xml:space="preserve">נ' </w:t>
      </w:r>
      <w:r>
        <w:rPr>
          <w:rFonts w:ascii="David" w:hAnsi="David"/>
          <w:b/>
          <w:bCs/>
          <w:rtl/>
        </w:rPr>
        <w:t xml:space="preserve">מיכה צח חברה לקבלנות כללית </w:t>
      </w:r>
      <w:r>
        <w:rPr>
          <w:rFonts w:ascii="David" w:hAnsi="David"/>
          <w:rtl/>
        </w:rPr>
        <w:t>(4.6.2007) ס' י"ב).</w:t>
      </w:r>
    </w:p>
    <w:p w:rsidR="00387C20" w:rsidRDefault="00387C20" w:rsidP="00387C20">
      <w:pPr>
        <w:spacing w:line="360" w:lineRule="auto"/>
        <w:ind w:left="651" w:hanging="567"/>
        <w:jc w:val="both"/>
        <w:rPr>
          <w:rFonts w:ascii="David" w:hAnsi="David"/>
          <w:rtl/>
        </w:rPr>
      </w:pPr>
    </w:p>
    <w:p w:rsidR="00387C20" w:rsidRDefault="00387C20" w:rsidP="00387C20">
      <w:pPr>
        <w:pStyle w:val="a3"/>
        <w:spacing w:line="360" w:lineRule="auto"/>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כך, מתחזקת הזכות שעה שההליך מתנהל בבית משפט לענייני משפחה. הדברים יפים במשנה תוקף בהתחשב באופיו ובתכליתו של בית המשפט לענייני משפחה, שהוא ".. בעל אופי אינקוויזיטורי מעצם טיבו, ולא אחת נדרש הוא לרדת לחקר האמת...", מקום בו "... סעיף 8(א) לחוק בית המשפט לענייני משפחה מעביר לקדמת הבמה את 'עשיית הצדק' ודוחק לשוליים במידת מה (ובמידה הראויה) את דיני הראיות וסדרי הדין...." (שאול שוחט נחום פינברג ויחזקאל </w:t>
      </w:r>
      <w:proofErr w:type="spellStart"/>
      <w:r>
        <w:rPr>
          <w:rFonts w:ascii="David" w:hAnsi="David" w:cs="David"/>
          <w:b/>
          <w:bCs/>
          <w:sz w:val="24"/>
          <w:szCs w:val="24"/>
          <w:rtl/>
        </w:rPr>
        <w:t>פלומין</w:t>
      </w:r>
      <w:proofErr w:type="spellEnd"/>
      <w:r>
        <w:rPr>
          <w:rFonts w:ascii="David" w:hAnsi="David" w:cs="David"/>
          <w:b/>
          <w:bCs/>
          <w:sz w:val="24"/>
          <w:szCs w:val="24"/>
          <w:rtl/>
        </w:rPr>
        <w:t xml:space="preserve"> דיני ירושה ועזבון  מהדורה שביעית , 192).</w:t>
      </w:r>
      <w:r>
        <w:rPr>
          <w:rFonts w:ascii="David" w:hAnsi="David" w:cs="David"/>
          <w:sz w:val="24"/>
          <w:szCs w:val="24"/>
          <w:rtl/>
        </w:rPr>
        <w:t xml:space="preserve"> " (</w:t>
      </w:r>
      <w:r>
        <w:rPr>
          <w:rFonts w:ascii="David" w:hAnsi="David" w:cs="David"/>
          <w:sz w:val="24"/>
          <w:szCs w:val="24"/>
          <w:u w:val="single"/>
          <w:rtl/>
        </w:rPr>
        <w:t>ער (ב"ש)  20850-12-18</w:t>
      </w:r>
      <w:r>
        <w:rPr>
          <w:rFonts w:ascii="David" w:hAnsi="David" w:cs="David"/>
          <w:sz w:val="24"/>
          <w:szCs w:val="24"/>
          <w:rtl/>
        </w:rPr>
        <w:t xml:space="preserve"> </w:t>
      </w:r>
      <w:r>
        <w:rPr>
          <w:rFonts w:ascii="David" w:hAnsi="David" w:cs="David"/>
          <w:b/>
          <w:bCs/>
          <w:sz w:val="24"/>
          <w:szCs w:val="24"/>
          <w:rtl/>
        </w:rPr>
        <w:t xml:space="preserve">ה.א. </w:t>
      </w:r>
      <w:r>
        <w:rPr>
          <w:rFonts w:ascii="David" w:hAnsi="David" w:cs="David"/>
          <w:sz w:val="24"/>
          <w:szCs w:val="24"/>
          <w:rtl/>
        </w:rPr>
        <w:t>נ'</w:t>
      </w:r>
      <w:r>
        <w:rPr>
          <w:rFonts w:ascii="David" w:hAnsi="David" w:cs="David"/>
          <w:b/>
          <w:bCs/>
          <w:sz w:val="24"/>
          <w:szCs w:val="24"/>
          <w:rtl/>
        </w:rPr>
        <w:t xml:space="preserve"> ה.ש. </w:t>
      </w:r>
      <w:r>
        <w:rPr>
          <w:rFonts w:ascii="David" w:hAnsi="David" w:cs="David"/>
          <w:sz w:val="24"/>
          <w:szCs w:val="24"/>
          <w:rtl/>
        </w:rPr>
        <w:t>(26.3.2019) ס' 10 לפסק הדין).</w:t>
      </w:r>
    </w:p>
    <w:p w:rsidR="00387C20" w:rsidRDefault="00387C20" w:rsidP="00387C20">
      <w:pPr>
        <w:spacing w:line="360" w:lineRule="auto"/>
        <w:ind w:left="720" w:hanging="720"/>
        <w:jc w:val="both"/>
        <w:rPr>
          <w:rFonts w:ascii="David" w:hAnsi="David"/>
          <w:rtl/>
        </w:rPr>
      </w:pPr>
      <w:r>
        <w:rPr>
          <w:rFonts w:ascii="David" w:hAnsi="David"/>
          <w:rtl/>
        </w:rPr>
        <w:t>15.</w:t>
      </w:r>
      <w:r>
        <w:rPr>
          <w:rFonts w:ascii="David" w:hAnsi="David"/>
          <w:rtl/>
        </w:rPr>
        <w:tab/>
        <w:t>לאור האמור לעיל הבקשה למחוק את המתנגד 1 נדחית.</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Pr>
      </w:pPr>
      <w:r>
        <w:rPr>
          <w:rFonts w:ascii="David" w:hAnsi="David"/>
          <w:rtl/>
        </w:rPr>
        <w:t>16.</w:t>
      </w:r>
      <w:r>
        <w:rPr>
          <w:rFonts w:ascii="David" w:hAnsi="David"/>
          <w:rtl/>
        </w:rPr>
        <w:tab/>
        <w:t xml:space="preserve">המבקשת תשלם למתנגד 1 הוצאות בסך 2,000 ₪. </w:t>
      </w:r>
    </w:p>
    <w:p w:rsidR="00387C20" w:rsidRDefault="00387C20" w:rsidP="00387C20">
      <w:pPr>
        <w:spacing w:line="360" w:lineRule="auto"/>
        <w:ind w:left="720" w:hanging="720"/>
        <w:jc w:val="both"/>
        <w:rPr>
          <w:rFonts w:ascii="David" w:hAnsi="David"/>
          <w:rtl/>
        </w:rPr>
      </w:pPr>
    </w:p>
    <w:p w:rsidR="00387C20" w:rsidRDefault="00387C20" w:rsidP="00387C20">
      <w:pPr>
        <w:spacing w:line="360" w:lineRule="auto"/>
        <w:ind w:left="720" w:hanging="720"/>
        <w:jc w:val="both"/>
        <w:rPr>
          <w:rFonts w:ascii="David" w:hAnsi="David"/>
          <w:rtl/>
        </w:rPr>
      </w:pPr>
      <w:r>
        <w:rPr>
          <w:rFonts w:ascii="David" w:hAnsi="David"/>
          <w:rtl/>
        </w:rPr>
        <w:t>17.</w:t>
      </w:r>
      <w:r>
        <w:rPr>
          <w:rFonts w:ascii="David" w:hAnsi="David"/>
          <w:rtl/>
        </w:rPr>
        <w:tab/>
        <w:t xml:space="preserve">תואיל המזכירות לשלוח ההחלטה לצדדים. </w:t>
      </w:r>
    </w:p>
    <w:p w:rsidR="00387C20" w:rsidRDefault="00387C20" w:rsidP="00387C20">
      <w:pPr>
        <w:spacing w:line="360" w:lineRule="auto"/>
        <w:jc w:val="both"/>
        <w:rPr>
          <w:rFonts w:ascii="Arial" w:hAnsi="Arial"/>
          <w:noProof w:val="0"/>
          <w:rtl/>
        </w:rPr>
      </w:pPr>
    </w:p>
    <w:p w:rsidR="00387C20" w:rsidRDefault="00387C20" w:rsidP="00387C20">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כ"ז חשוון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2024</w:t>
          </w:r>
        </w:sdtContent>
      </w:sdt>
      <w:r>
        <w:rPr>
          <w:rFonts w:ascii="Arial" w:hAnsi="Arial"/>
          <w:noProof w:val="0"/>
          <w:rtl/>
        </w:rPr>
        <w:t>, בהעדר הצדדים.</w:t>
      </w:r>
    </w:p>
    <w:p w:rsidR="00387C20" w:rsidRDefault="003113E3" w:rsidP="00387C20">
      <w:pPr>
        <w:tabs>
          <w:tab w:val="left" w:pos="2553"/>
        </w:tabs>
        <w:ind w:left="5040"/>
        <w:rPr>
          <w:rtl/>
        </w:rPr>
      </w:pPr>
      <w:sdt>
        <w:sdtPr>
          <w:rPr>
            <w:rtl/>
          </w:rPr>
          <w:alias w:val="2045"/>
          <w:tag w:val="2045"/>
          <w:id w:val="740689340"/>
          <w:placeholder>
            <w:docPart w:val="396A96B1C0D74D42BEDCBB64FA3897C4"/>
          </w:placeholder>
          <w:showingPlcHdr/>
          <w:text w:multiLine="1"/>
        </w:sdtPr>
        <w:sdtEndPr/>
        <w:sdtContent>
          <w:r w:rsidR="00387C20">
            <w:rPr>
              <w:rtl/>
            </w:rPr>
            <w:t xml:space="preserve">     </w:t>
          </w:r>
        </w:sdtContent>
      </w:sdt>
    </w:p>
    <w:p w:rsidR="00387C20" w:rsidRDefault="00387C20" w:rsidP="00387C20">
      <w:pPr>
        <w:tabs>
          <w:tab w:val="left" w:pos="2553"/>
        </w:tabs>
        <w:rPr>
          <w:rtl/>
        </w:rPr>
      </w:pPr>
      <w:r>
        <w:rPr>
          <w:rtl/>
        </w:rPr>
        <w:tab/>
      </w:r>
      <w:r>
        <w:rPr>
          <w:rtl/>
        </w:rPr>
        <w:tab/>
      </w:r>
      <w:r>
        <w:rPr>
          <w:rtl/>
        </w:rPr>
        <w:tab/>
      </w:r>
      <w:r>
        <w:rPr>
          <w:rtl/>
        </w:rPr>
        <w:tab/>
        <w:t xml:space="preserve">        </w:t>
      </w:r>
      <w:sdt>
        <w:sdtPr>
          <w:rPr>
            <w:rtl/>
          </w:rPr>
          <w:alias w:val="MergeField"/>
          <w:tag w:val="1237"/>
          <w:id w:val="1846435746"/>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387C20" w:rsidRDefault="00387C20" w:rsidP="00387C20">
      <w:pPr>
        <w:tabs>
          <w:tab w:val="left" w:pos="2553"/>
        </w:tabs>
        <w:rPr>
          <w:rFonts w:ascii="Arial" w:hAnsi="Arial"/>
          <w:noProof w:val="0"/>
        </w:rPr>
      </w:pPr>
    </w:p>
    <w:p w:rsidR="00387C20" w:rsidRDefault="00387C20"/>
    <w:sectPr w:rsidR="00387C20"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79D"/>
    <w:rsid w:val="00033EE4"/>
    <w:rsid w:val="000A77AE"/>
    <w:rsid w:val="00244ECA"/>
    <w:rsid w:val="00387C20"/>
    <w:rsid w:val="00912B11"/>
    <w:rsid w:val="00CB0BA9"/>
    <w:rsid w:val="00D52136"/>
    <w:rsid w:val="00DD2491"/>
    <w:rsid w:val="00E157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632D25-AAB5-4A3F-BFC0-95C817ED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2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387C2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387C20"/>
    <w:pPr>
      <w:tabs>
        <w:tab w:val="center" w:pos="4153"/>
        <w:tab w:val="right" w:pos="8306"/>
      </w:tabs>
    </w:pPr>
  </w:style>
  <w:style w:type="character" w:customStyle="1" w:styleId="a6">
    <w:name w:val="כותרת עליונה תו"/>
    <w:basedOn w:val="a0"/>
    <w:link w:val="a5"/>
    <w:semiHidden/>
    <w:rsid w:val="00387C20"/>
    <w:rPr>
      <w:rFonts w:ascii="Times New Roman" w:eastAsia="Times New Roman" w:hAnsi="Times New Roman" w:cs="David"/>
      <w:noProof/>
      <w:sz w:val="24"/>
      <w:szCs w:val="24"/>
    </w:rPr>
  </w:style>
  <w:style w:type="paragraph" w:styleId="NormalWeb">
    <w:name w:val="Normal (Web)"/>
    <w:basedOn w:val="a"/>
    <w:uiPriority w:val="99"/>
    <w:semiHidden/>
    <w:unhideWhenUsed/>
    <w:rsid w:val="00387C20"/>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244ECA"/>
    <w:rPr>
      <w:rFonts w:ascii="Tahoma" w:hAnsi="Tahoma" w:cs="Tahoma"/>
      <w:sz w:val="18"/>
      <w:szCs w:val="18"/>
    </w:rPr>
  </w:style>
  <w:style w:type="character" w:customStyle="1" w:styleId="a8">
    <w:name w:val="טקסט בלונים תו"/>
    <w:basedOn w:val="a0"/>
    <w:link w:val="a7"/>
    <w:uiPriority w:val="99"/>
    <w:semiHidden/>
    <w:rsid w:val="00244ECA"/>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607797">
      <w:bodyDiv w:val="1"/>
      <w:marLeft w:val="0"/>
      <w:marRight w:val="0"/>
      <w:marTop w:val="0"/>
      <w:marBottom w:val="0"/>
      <w:divBdr>
        <w:top w:val="none" w:sz="0" w:space="0" w:color="auto"/>
        <w:left w:val="none" w:sz="0" w:space="0" w:color="auto"/>
        <w:bottom w:val="none" w:sz="0" w:space="0" w:color="auto"/>
        <w:right w:val="none" w:sz="0" w:space="0" w:color="auto"/>
      </w:divBdr>
    </w:div>
    <w:div w:id="206066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6A96B1C0D74D42BEDCBB64FA3897C4"/>
        <w:category>
          <w:name w:val="כללי"/>
          <w:gallery w:val="placeholder"/>
        </w:category>
        <w:types>
          <w:type w:val="bbPlcHdr"/>
        </w:types>
        <w:behaviors>
          <w:behavior w:val="content"/>
        </w:behaviors>
        <w:guid w:val="{F72C6763-132E-4DA7-8D66-FF15ACE33EFE}"/>
      </w:docPartPr>
      <w:docPartBody>
        <w:p w:rsidR="00DE020C" w:rsidRDefault="00966A13" w:rsidP="00966A13">
          <w:pPr>
            <w:pStyle w:val="396A96B1C0D74D42BEDCBB64FA3897C4"/>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13"/>
    <w:rsid w:val="00514B9C"/>
    <w:rsid w:val="00966A13"/>
    <w:rsid w:val="00D9166D"/>
    <w:rsid w:val="00DE02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96A96B1C0D74D42BEDCBB64FA3897C4">
    <w:name w:val="396A96B1C0D74D42BEDCBB64FA3897C4"/>
    <w:rsid w:val="00966A1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1646</Words>
  <Characters>8232</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נעמה שחר</cp:lastModifiedBy>
  <cp:revision>2</cp:revision>
  <cp:lastPrinted>2024-12-09T07:44:00Z</cp:lastPrinted>
  <dcterms:created xsi:type="dcterms:W3CDTF">2024-12-09T08:02:00Z</dcterms:created>
  <dcterms:modified xsi:type="dcterms:W3CDTF">2024-12-09T08:02:00Z</dcterms:modified>
</cp:coreProperties>
</file>